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DB4CE">
      <w:pPr>
        <w:wordWrap w:val="0"/>
        <w:outlineLvl w:val="3"/>
        <w:rPr>
          <w:b/>
          <w:sz w:val="28"/>
          <w:szCs w:val="28"/>
          <w:highlight w:val="none"/>
        </w:rPr>
      </w:pPr>
      <w:r>
        <w:rPr>
          <w:b/>
          <w:sz w:val="28"/>
          <w:szCs w:val="28"/>
          <w:highlight w:val="none"/>
        </w:rPr>
        <w:t>附件1：</w:t>
      </w:r>
      <w:bookmarkStart w:id="0" w:name="_Toc404712451"/>
      <w:r>
        <w:rPr>
          <w:b/>
          <w:sz w:val="28"/>
          <w:szCs w:val="28"/>
          <w:highlight w:val="none"/>
        </w:rPr>
        <w:t>资格审查条件</w:t>
      </w:r>
      <w:bookmarkEnd w:id="0"/>
    </w:p>
    <w:p w14:paraId="2B436FCB">
      <w:pPr>
        <w:wordWrap w:val="0"/>
        <w:rPr>
          <w:b/>
          <w:sz w:val="28"/>
          <w:szCs w:val="28"/>
          <w:highlight w:val="none"/>
        </w:rPr>
      </w:pPr>
    </w:p>
    <w:p w14:paraId="3ABA7843">
      <w:pPr>
        <w:wordWrap w:val="0"/>
        <w:jc w:val="center"/>
        <w:rPr>
          <w:highlight w:val="none"/>
        </w:rPr>
      </w:pPr>
      <w:r>
        <w:rPr>
          <w:b/>
          <w:sz w:val="24"/>
          <w:highlight w:val="none"/>
        </w:rPr>
        <w:t>附录1  资格审查条件（资质最低要求）</w:t>
      </w:r>
    </w:p>
    <w:tbl>
      <w:tblPr>
        <w:tblStyle w:val="3"/>
        <w:tblpPr w:leftFromText="181" w:rightFromText="181" w:vertAnchor="text" w:horzAnchor="margin" w:tblpXSpec="center" w:tblpY="3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28" w:type="dxa"/>
          <w:left w:w="28" w:type="dxa"/>
          <w:bottom w:w="28" w:type="dxa"/>
          <w:right w:w="28" w:type="dxa"/>
        </w:tblCellMar>
      </w:tblPr>
      <w:tblGrid>
        <w:gridCol w:w="8362"/>
      </w:tblGrid>
      <w:tr w14:paraId="5252A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542" w:hRule="atLeast"/>
          <w:tblHeader/>
        </w:trPr>
        <w:tc>
          <w:tcPr>
            <w:tcW w:w="5000" w:type="pct"/>
            <w:noWrap w:val="0"/>
            <w:vAlign w:val="center"/>
          </w:tcPr>
          <w:p w14:paraId="3FD6D2D4">
            <w:pPr>
              <w:wordWrap w:val="0"/>
              <w:adjustRightInd w:val="0"/>
              <w:snapToGrid w:val="0"/>
              <w:jc w:val="center"/>
              <w:rPr>
                <w:b/>
                <w:bCs/>
                <w:szCs w:val="21"/>
                <w:highlight w:val="none"/>
              </w:rPr>
            </w:pPr>
            <w:r>
              <w:rPr>
                <w:b/>
                <w:bCs/>
                <w:szCs w:val="21"/>
                <w:highlight w:val="none"/>
              </w:rPr>
              <w:t>资质要求</w:t>
            </w:r>
          </w:p>
        </w:tc>
      </w:tr>
      <w:tr w14:paraId="04187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451" w:hRule="atLeast"/>
        </w:trPr>
        <w:tc>
          <w:tcPr>
            <w:tcW w:w="5000" w:type="pct"/>
            <w:noWrap w:val="0"/>
            <w:vAlign w:val="center"/>
          </w:tcPr>
          <w:p w14:paraId="64E8B84A">
            <w:pPr>
              <w:wordWrap w:val="0"/>
              <w:adjustRightInd w:val="0"/>
              <w:snapToGrid w:val="0"/>
              <w:rPr>
                <w:rFonts w:hint="eastAsia"/>
                <w:highlight w:val="none"/>
                <w:lang w:eastAsia="zh-CN"/>
              </w:rPr>
            </w:pPr>
            <w:r>
              <w:rPr>
                <w:rFonts w:hint="eastAsia"/>
                <w:highlight w:val="none"/>
              </w:rPr>
              <w:t>投标人须为具备独立企业法人资格的制造商或授权代理商，具有有效的营业执照</w:t>
            </w:r>
            <w:r>
              <w:rPr>
                <w:rFonts w:hint="eastAsia"/>
                <w:highlight w:val="none"/>
                <w:lang w:eastAsia="zh-CN"/>
              </w:rPr>
              <w:t>。</w:t>
            </w:r>
          </w:p>
          <w:p w14:paraId="294AEC08">
            <w:pPr>
              <w:numPr>
                <w:ilvl w:val="0"/>
                <w:numId w:val="0"/>
              </w:numPr>
              <w:wordWrap w:val="0"/>
              <w:adjustRightInd w:val="0"/>
              <w:snapToGrid w:val="0"/>
              <w:rPr>
                <w:rFonts w:hint="eastAsia"/>
                <w:szCs w:val="21"/>
                <w:highlight w:val="none"/>
                <w:lang w:eastAsia="zh-CN"/>
              </w:rPr>
            </w:pPr>
            <w:r>
              <w:rPr>
                <w:rFonts w:hint="eastAsia"/>
                <w:kern w:val="2"/>
                <w:sz w:val="21"/>
                <w:szCs w:val="21"/>
                <w:highlight w:val="none"/>
                <w:lang w:val="en-US" w:eastAsia="zh-CN" w:bidi="ar-SA"/>
              </w:rPr>
              <w:t>（1）</w:t>
            </w:r>
            <w:r>
              <w:rPr>
                <w:szCs w:val="21"/>
                <w:highlight w:val="none"/>
              </w:rPr>
              <w:t>投标人如为制造商，可以是国产设备制造商或进口设备制造商的中国销售公司（总代理）</w:t>
            </w:r>
            <w:r>
              <w:rPr>
                <w:rFonts w:hint="eastAsia"/>
                <w:szCs w:val="21"/>
                <w:highlight w:val="none"/>
                <w:lang w:eastAsia="zh-CN"/>
              </w:rPr>
              <w:t>。</w:t>
            </w:r>
          </w:p>
          <w:p w14:paraId="575022B2">
            <w:pPr>
              <w:numPr>
                <w:ilvl w:val="0"/>
                <w:numId w:val="0"/>
              </w:numPr>
              <w:wordWrap w:val="0"/>
              <w:adjustRightInd w:val="0"/>
              <w:snapToGrid w:val="0"/>
              <w:rPr>
                <w:rFonts w:hint="default" w:eastAsia="宋体"/>
                <w:highlight w:val="none"/>
                <w:lang w:val="en-US" w:eastAsia="zh-CN"/>
              </w:rPr>
            </w:pPr>
            <w:r>
              <w:rPr>
                <w:rFonts w:hint="eastAsia"/>
                <w:kern w:val="2"/>
                <w:sz w:val="21"/>
                <w:szCs w:val="21"/>
                <w:highlight w:val="none"/>
                <w:lang w:val="en-US" w:eastAsia="zh-CN" w:bidi="ar-SA"/>
              </w:rPr>
              <w:t>（2）</w:t>
            </w:r>
            <w:r>
              <w:rPr>
                <w:rFonts w:hint="eastAsia"/>
                <w:szCs w:val="21"/>
                <w:highlight w:val="none"/>
                <w:lang w:val="en-US" w:eastAsia="zh-CN"/>
              </w:rPr>
              <w:t>投标人如为授权代理商，</w:t>
            </w:r>
            <w:r>
              <w:rPr>
                <w:highlight w:val="none"/>
              </w:rPr>
              <w:t>应持有制造商针对本项目的唯一授权</w:t>
            </w:r>
            <w:r>
              <w:rPr>
                <w:rFonts w:hint="eastAsia"/>
                <w:kern w:val="0"/>
                <w:sz w:val="21"/>
                <w:szCs w:val="21"/>
                <w:highlight w:val="none"/>
                <w:lang w:eastAsia="zh-CN"/>
              </w:rPr>
              <w:t>（</w:t>
            </w:r>
            <w:r>
              <w:rPr>
                <w:rFonts w:hint="eastAsia"/>
                <w:b/>
                <w:bCs/>
                <w:kern w:val="0"/>
                <w:sz w:val="21"/>
                <w:szCs w:val="21"/>
                <w:highlight w:val="none"/>
                <w:lang w:val="en-US" w:eastAsia="zh-CN"/>
              </w:rPr>
              <w:t>仅限招标公告2.3款“</w:t>
            </w:r>
            <w:r>
              <w:rPr>
                <w:rFonts w:hint="eastAsia" w:ascii="宋体" w:hAnsi="宋体" w:cs="仿宋"/>
                <w:b/>
                <w:bCs/>
                <w:kern w:val="0"/>
                <w:sz w:val="21"/>
                <w:szCs w:val="21"/>
                <w:highlight w:val="none"/>
              </w:rPr>
              <w:t>设备需求一览表</w:t>
            </w:r>
            <w:r>
              <w:rPr>
                <w:rFonts w:hint="eastAsia" w:ascii="宋体" w:hAnsi="宋体" w:cs="仿宋"/>
                <w:b/>
                <w:bCs/>
                <w:kern w:val="0"/>
                <w:sz w:val="21"/>
                <w:szCs w:val="21"/>
                <w:highlight w:val="none"/>
                <w:lang w:eastAsia="zh-CN"/>
              </w:rPr>
              <w:t>”</w:t>
            </w:r>
            <w:r>
              <w:rPr>
                <w:rFonts w:hint="eastAsia" w:ascii="宋体" w:hAnsi="宋体" w:cs="仿宋"/>
                <w:b/>
                <w:bCs/>
                <w:kern w:val="0"/>
                <w:sz w:val="21"/>
                <w:szCs w:val="21"/>
                <w:highlight w:val="none"/>
                <w:lang w:val="en-US" w:eastAsia="zh-CN"/>
              </w:rPr>
              <w:t>中加“</w:t>
            </w:r>
            <w:r>
              <w:rPr>
                <w:rFonts w:hint="eastAsia" w:ascii="宋体" w:hAnsi="宋体" w:eastAsia="宋体" w:cs="宋体"/>
                <w:b/>
                <w:bCs/>
                <w:sz w:val="21"/>
                <w:szCs w:val="21"/>
                <w:highlight w:val="none"/>
              </w:rPr>
              <w:t>★</w:t>
            </w:r>
            <w:r>
              <w:rPr>
                <w:rFonts w:hint="eastAsia" w:ascii="宋体" w:hAnsi="宋体" w:cs="仿宋"/>
                <w:b/>
                <w:bCs/>
                <w:kern w:val="0"/>
                <w:sz w:val="21"/>
                <w:szCs w:val="21"/>
                <w:highlight w:val="none"/>
                <w:lang w:val="en-US" w:eastAsia="zh-CN"/>
              </w:rPr>
              <w:t>”设备</w:t>
            </w:r>
            <w:r>
              <w:rPr>
                <w:rFonts w:hint="eastAsia"/>
                <w:kern w:val="0"/>
                <w:sz w:val="21"/>
                <w:szCs w:val="21"/>
                <w:highlight w:val="none"/>
                <w:lang w:eastAsia="zh-CN"/>
              </w:rPr>
              <w:t>）</w:t>
            </w:r>
            <w:r>
              <w:rPr>
                <w:highlight w:val="none"/>
              </w:rPr>
              <w:t>；其代理的制造商须满足上述投标人为制造商的资质要求。</w:t>
            </w:r>
          </w:p>
        </w:tc>
      </w:tr>
    </w:tbl>
    <w:p w14:paraId="24E0B329">
      <w:pPr>
        <w:wordWrap w:val="0"/>
        <w:jc w:val="center"/>
        <w:rPr>
          <w:b/>
          <w:sz w:val="24"/>
          <w:highlight w:val="none"/>
        </w:rPr>
      </w:pPr>
    </w:p>
    <w:p w14:paraId="2CBC356A">
      <w:pPr>
        <w:wordWrap w:val="0"/>
        <w:jc w:val="center"/>
        <w:rPr>
          <w:b/>
          <w:sz w:val="24"/>
          <w:highlight w:val="none"/>
        </w:rPr>
      </w:pPr>
    </w:p>
    <w:p w14:paraId="729AD444">
      <w:pPr>
        <w:wordWrap w:val="0"/>
        <w:jc w:val="center"/>
        <w:rPr>
          <w:b/>
          <w:sz w:val="24"/>
          <w:highlight w:val="none"/>
        </w:rPr>
      </w:pPr>
      <w:r>
        <w:rPr>
          <w:b/>
          <w:sz w:val="24"/>
          <w:highlight w:val="none"/>
        </w:rPr>
        <w:t>附录2  资格审查条件（财务最低要求）</w:t>
      </w:r>
    </w:p>
    <w:tbl>
      <w:tblPr>
        <w:tblStyle w:val="3"/>
        <w:tblW w:w="5041"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84"/>
      </w:tblGrid>
      <w:tr w14:paraId="2F02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trPr>
        <w:tc>
          <w:tcPr>
            <w:tcW w:w="5000" w:type="pct"/>
            <w:noWrap w:val="0"/>
            <w:vAlign w:val="center"/>
          </w:tcPr>
          <w:p w14:paraId="189C7919">
            <w:pPr>
              <w:wordWrap w:val="0"/>
              <w:adjustRightInd w:val="0"/>
              <w:snapToGrid w:val="0"/>
              <w:jc w:val="center"/>
              <w:rPr>
                <w:b/>
                <w:szCs w:val="21"/>
                <w:highlight w:val="none"/>
                <w:shd w:val="clear" w:color="auto" w:fill="FFFFFF"/>
              </w:rPr>
            </w:pPr>
            <w:r>
              <w:rPr>
                <w:b/>
                <w:szCs w:val="21"/>
                <w:highlight w:val="none"/>
                <w:shd w:val="clear" w:color="auto" w:fill="FFFFFF"/>
              </w:rPr>
              <w:t>财务要求</w:t>
            </w:r>
          </w:p>
        </w:tc>
      </w:tr>
      <w:tr w14:paraId="0040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trPr>
        <w:tc>
          <w:tcPr>
            <w:tcW w:w="5000" w:type="pct"/>
            <w:noWrap w:val="0"/>
            <w:vAlign w:val="center"/>
          </w:tcPr>
          <w:p w14:paraId="71D49340">
            <w:pPr>
              <w:wordWrap w:val="0"/>
              <w:adjustRightInd w:val="0"/>
              <w:snapToGrid w:val="0"/>
              <w:spacing w:line="288" w:lineRule="auto"/>
              <w:rPr>
                <w:szCs w:val="21"/>
                <w:highlight w:val="none"/>
                <w:shd w:val="clear" w:color="auto" w:fill="FFFFFF"/>
              </w:rPr>
            </w:pPr>
            <w:r>
              <w:rPr>
                <w:szCs w:val="21"/>
                <w:highlight w:val="none"/>
              </w:rPr>
              <w:t>为本合同所提供的营运资金（以经会计事务所或审计机构审计的</w:t>
            </w:r>
            <w:r>
              <w:rPr>
                <w:strike w:val="0"/>
                <w:dstrike w:val="0"/>
                <w:szCs w:val="21"/>
                <w:highlight w:val="none"/>
              </w:rPr>
              <w:t>202</w:t>
            </w:r>
            <w:r>
              <w:rPr>
                <w:rFonts w:hint="eastAsia"/>
                <w:strike w:val="0"/>
                <w:dstrike w:val="0"/>
                <w:szCs w:val="21"/>
                <w:highlight w:val="none"/>
                <w:lang w:val="en-US" w:eastAsia="zh-CN"/>
              </w:rPr>
              <w:t>3</w:t>
            </w:r>
            <w:r>
              <w:rPr>
                <w:strike w:val="0"/>
                <w:dstrike w:val="0"/>
                <w:szCs w:val="21"/>
                <w:highlight w:val="none"/>
              </w:rPr>
              <w:t>年度</w:t>
            </w:r>
            <w:r>
              <w:rPr>
                <w:szCs w:val="21"/>
                <w:highlight w:val="none"/>
              </w:rPr>
              <w:t>财务报表中：营运资金=流动资产-流动负债，以年末数计算）以及为本项目而专门开具的银行信贷证明总和不得低于</w:t>
            </w:r>
            <w:r>
              <w:rPr>
                <w:rFonts w:hint="eastAsia"/>
                <w:szCs w:val="21"/>
                <w:highlight w:val="none"/>
              </w:rPr>
              <w:t>：一标段</w:t>
            </w:r>
            <w:r>
              <w:rPr>
                <w:rFonts w:hint="eastAsia"/>
                <w:szCs w:val="21"/>
                <w:highlight w:val="none"/>
                <w:u w:val="single"/>
                <w:lang w:val="en-US" w:eastAsia="zh-CN"/>
              </w:rPr>
              <w:t xml:space="preserve"> 300 </w:t>
            </w:r>
            <w:r>
              <w:rPr>
                <w:szCs w:val="21"/>
                <w:highlight w:val="none"/>
              </w:rPr>
              <w:t>万元</w:t>
            </w:r>
            <w:r>
              <w:rPr>
                <w:rFonts w:hint="eastAsia"/>
                <w:szCs w:val="21"/>
                <w:highlight w:val="none"/>
              </w:rPr>
              <w:t>、二标段</w:t>
            </w:r>
            <w:r>
              <w:rPr>
                <w:rFonts w:hint="eastAsia"/>
                <w:szCs w:val="21"/>
                <w:highlight w:val="none"/>
                <w:u w:val="single"/>
                <w:lang w:val="en-US" w:eastAsia="zh-CN"/>
              </w:rPr>
              <w:t xml:space="preserve"> 150 </w:t>
            </w:r>
            <w:r>
              <w:rPr>
                <w:rFonts w:hint="eastAsia"/>
                <w:szCs w:val="21"/>
                <w:highlight w:val="none"/>
              </w:rPr>
              <w:t>万元、三标段</w:t>
            </w:r>
            <w:r>
              <w:rPr>
                <w:rFonts w:hint="eastAsia"/>
                <w:szCs w:val="21"/>
                <w:highlight w:val="none"/>
                <w:u w:val="single"/>
                <w:lang w:val="en-US" w:eastAsia="zh-CN"/>
              </w:rPr>
              <w:t xml:space="preserve"> 60 </w:t>
            </w:r>
            <w:r>
              <w:rPr>
                <w:rFonts w:hint="eastAsia"/>
                <w:szCs w:val="21"/>
                <w:highlight w:val="none"/>
              </w:rPr>
              <w:t>万元、四标段</w:t>
            </w:r>
            <w:r>
              <w:rPr>
                <w:rFonts w:hint="eastAsia"/>
                <w:szCs w:val="21"/>
                <w:highlight w:val="none"/>
                <w:u w:val="single"/>
                <w:lang w:val="en-US" w:eastAsia="zh-CN"/>
              </w:rPr>
              <w:t xml:space="preserve"> 50 </w:t>
            </w:r>
            <w:r>
              <w:rPr>
                <w:rFonts w:hint="eastAsia"/>
                <w:szCs w:val="21"/>
                <w:highlight w:val="none"/>
              </w:rPr>
              <w:t>万元</w:t>
            </w:r>
            <w:r>
              <w:rPr>
                <w:rFonts w:hint="eastAsia"/>
                <w:szCs w:val="21"/>
                <w:highlight w:val="none"/>
                <w:lang w:eastAsia="zh-CN"/>
              </w:rPr>
              <w:t>、五标段</w:t>
            </w:r>
            <w:r>
              <w:rPr>
                <w:rFonts w:hint="eastAsia"/>
                <w:szCs w:val="21"/>
                <w:highlight w:val="none"/>
                <w:u w:val="single"/>
                <w:lang w:val="en-US" w:eastAsia="zh-CN"/>
              </w:rPr>
              <w:t xml:space="preserve"> 20 </w:t>
            </w:r>
            <w:r>
              <w:rPr>
                <w:rFonts w:hint="eastAsia"/>
                <w:szCs w:val="21"/>
                <w:highlight w:val="none"/>
              </w:rPr>
              <w:t>万元</w:t>
            </w:r>
            <w:r>
              <w:rPr>
                <w:szCs w:val="21"/>
                <w:highlight w:val="none"/>
              </w:rPr>
              <w:t>。</w:t>
            </w:r>
          </w:p>
        </w:tc>
      </w:tr>
    </w:tbl>
    <w:p w14:paraId="6073A711">
      <w:pPr>
        <w:wordWrap w:val="0"/>
        <w:jc w:val="both"/>
        <w:rPr>
          <w:b/>
          <w:sz w:val="24"/>
          <w:highlight w:val="none"/>
        </w:rPr>
      </w:pPr>
    </w:p>
    <w:p w14:paraId="14A288C5">
      <w:pPr>
        <w:wordWrap w:val="0"/>
        <w:jc w:val="center"/>
        <w:rPr>
          <w:highlight w:val="none"/>
        </w:rPr>
      </w:pPr>
      <w:r>
        <w:rPr>
          <w:b/>
          <w:sz w:val="24"/>
          <w:highlight w:val="none"/>
        </w:rPr>
        <w:t>附录3  资格审查条件（信誉最低要求）</w:t>
      </w:r>
    </w:p>
    <w:tbl>
      <w:tblPr>
        <w:tblStyle w:val="3"/>
        <w:tblW w:w="493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406"/>
      </w:tblGrid>
      <w:tr w14:paraId="1D268A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4" w:hRule="atLeast"/>
          <w:jc w:val="center"/>
        </w:trPr>
        <w:tc>
          <w:tcPr>
            <w:tcW w:w="5000" w:type="pct"/>
            <w:noWrap w:val="0"/>
            <w:vAlign w:val="center"/>
          </w:tcPr>
          <w:p w14:paraId="2D8CB0D2">
            <w:pPr>
              <w:wordWrap w:val="0"/>
              <w:adjustRightInd w:val="0"/>
              <w:snapToGrid w:val="0"/>
              <w:jc w:val="center"/>
              <w:rPr>
                <w:b/>
                <w:szCs w:val="21"/>
                <w:highlight w:val="none"/>
              </w:rPr>
            </w:pPr>
            <w:r>
              <w:rPr>
                <w:b/>
                <w:szCs w:val="21"/>
                <w:highlight w:val="none"/>
              </w:rPr>
              <w:t>信誉要求</w:t>
            </w:r>
          </w:p>
        </w:tc>
      </w:tr>
      <w:tr w14:paraId="46EC84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71" w:hRule="atLeast"/>
          <w:jc w:val="center"/>
        </w:trPr>
        <w:tc>
          <w:tcPr>
            <w:tcW w:w="5000" w:type="pct"/>
            <w:noWrap w:val="0"/>
            <w:vAlign w:val="center"/>
          </w:tcPr>
          <w:p w14:paraId="2C298CF3">
            <w:pPr>
              <w:wordWrap w:val="0"/>
              <w:rPr>
                <w:highlight w:val="none"/>
              </w:rPr>
            </w:pPr>
            <w:r>
              <w:rPr>
                <w:highlight w:val="none"/>
              </w:rPr>
              <w:t>投标人在近一年（</w:t>
            </w:r>
            <w:r>
              <w:rPr>
                <w:rFonts w:hint="eastAsia"/>
                <w:highlight w:val="none"/>
                <w:lang w:eastAsia="zh-CN"/>
              </w:rPr>
              <w:t>202</w:t>
            </w:r>
            <w:r>
              <w:rPr>
                <w:rFonts w:hint="eastAsia"/>
                <w:highlight w:val="none"/>
                <w:lang w:val="en-US" w:eastAsia="zh-CN"/>
              </w:rPr>
              <w:t>4</w:t>
            </w:r>
            <w:r>
              <w:rPr>
                <w:rFonts w:hint="eastAsia"/>
                <w:highlight w:val="none"/>
                <w:lang w:eastAsia="zh-CN"/>
              </w:rPr>
              <w:t>年</w:t>
            </w:r>
            <w:r>
              <w:rPr>
                <w:rFonts w:hint="eastAsia"/>
                <w:highlight w:val="none"/>
                <w:lang w:val="en-US" w:eastAsia="zh-CN"/>
              </w:rPr>
              <w:t>3</w:t>
            </w:r>
            <w:r>
              <w:rPr>
                <w:rFonts w:hint="eastAsia"/>
                <w:highlight w:val="none"/>
                <w:lang w:eastAsia="zh-CN"/>
              </w:rPr>
              <w:t>月1日</w:t>
            </w:r>
            <w:r>
              <w:rPr>
                <w:highlight w:val="none"/>
              </w:rPr>
              <w:t>至投标截止时间）不曾在</w:t>
            </w:r>
            <w:r>
              <w:rPr>
                <w:rFonts w:hint="eastAsia"/>
                <w:highlight w:val="none"/>
                <w:lang w:val="en-US" w:eastAsia="zh-CN"/>
              </w:rPr>
              <w:t>类似</w:t>
            </w:r>
            <w:r>
              <w:rPr>
                <w:highlight w:val="none"/>
              </w:rPr>
              <w:t>设备供货中违约被逐或因投标人自身的原因而使</w:t>
            </w:r>
            <w:r>
              <w:rPr>
                <w:rFonts w:hint="eastAsia"/>
                <w:highlight w:val="none"/>
                <w:lang w:val="en-US" w:eastAsia="zh-CN"/>
              </w:rPr>
              <w:t>类似</w:t>
            </w:r>
            <w:r>
              <w:rPr>
                <w:highlight w:val="none"/>
              </w:rPr>
              <w:t>设备供货合同被解除。</w:t>
            </w:r>
          </w:p>
        </w:tc>
      </w:tr>
    </w:tbl>
    <w:p w14:paraId="49841E2B">
      <w:pPr>
        <w:wordWrap w:val="0"/>
        <w:jc w:val="both"/>
        <w:rPr>
          <w:b/>
          <w:sz w:val="24"/>
          <w:highlight w:val="none"/>
        </w:rPr>
      </w:pPr>
    </w:p>
    <w:p w14:paraId="43ED544F">
      <w:pPr>
        <w:wordWrap w:val="0"/>
        <w:jc w:val="center"/>
        <w:rPr>
          <w:b/>
          <w:sz w:val="24"/>
          <w:highlight w:val="none"/>
        </w:rPr>
      </w:pPr>
      <w:r>
        <w:rPr>
          <w:b/>
          <w:sz w:val="24"/>
          <w:highlight w:val="none"/>
        </w:rPr>
        <w:t>附录4  资格审查条件（业绩最低要求）</w:t>
      </w:r>
    </w:p>
    <w:tbl>
      <w:tblPr>
        <w:tblStyle w:val="3"/>
        <w:tblW w:w="5090" w:type="pct"/>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33"/>
        <w:gridCol w:w="7433"/>
      </w:tblGrid>
      <w:tr w14:paraId="5236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trPr>
        <w:tc>
          <w:tcPr>
            <w:tcW w:w="610" w:type="pct"/>
            <w:noWrap w:val="0"/>
            <w:vAlign w:val="center"/>
          </w:tcPr>
          <w:p w14:paraId="4CAA1113">
            <w:pPr>
              <w:wordWrap w:val="0"/>
              <w:adjustRightInd w:val="0"/>
              <w:snapToGrid w:val="0"/>
              <w:jc w:val="center"/>
              <w:rPr>
                <w:b/>
                <w:szCs w:val="21"/>
                <w:highlight w:val="none"/>
                <w:shd w:val="clear" w:color="auto" w:fill="FFFFFF"/>
              </w:rPr>
            </w:pPr>
            <w:r>
              <w:rPr>
                <w:b/>
                <w:szCs w:val="21"/>
                <w:highlight w:val="none"/>
                <w:shd w:val="clear" w:color="auto" w:fill="FFFFFF"/>
              </w:rPr>
              <w:t>标段</w:t>
            </w:r>
          </w:p>
        </w:tc>
        <w:tc>
          <w:tcPr>
            <w:tcW w:w="4389" w:type="pct"/>
            <w:noWrap w:val="0"/>
            <w:vAlign w:val="center"/>
          </w:tcPr>
          <w:p w14:paraId="250F1E42">
            <w:pPr>
              <w:wordWrap w:val="0"/>
              <w:adjustRightInd w:val="0"/>
              <w:snapToGrid w:val="0"/>
              <w:jc w:val="center"/>
              <w:rPr>
                <w:b/>
                <w:szCs w:val="21"/>
                <w:highlight w:val="none"/>
                <w:shd w:val="clear" w:color="auto" w:fill="FFFFFF"/>
              </w:rPr>
            </w:pPr>
            <w:r>
              <w:rPr>
                <w:b/>
                <w:szCs w:val="21"/>
                <w:highlight w:val="none"/>
                <w:shd w:val="clear" w:color="auto" w:fill="FFFFFF"/>
              </w:rPr>
              <w:t>业绩要求</w:t>
            </w:r>
          </w:p>
        </w:tc>
      </w:tr>
      <w:tr w14:paraId="04C2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trPr>
        <w:tc>
          <w:tcPr>
            <w:tcW w:w="610" w:type="pct"/>
            <w:noWrap w:val="0"/>
            <w:vAlign w:val="center"/>
          </w:tcPr>
          <w:p w14:paraId="2DC15F9D">
            <w:pPr>
              <w:wordWrap w:val="0"/>
              <w:jc w:val="center"/>
              <w:rPr>
                <w:szCs w:val="21"/>
                <w:highlight w:val="none"/>
              </w:rPr>
            </w:pPr>
            <w:r>
              <w:rPr>
                <w:szCs w:val="21"/>
                <w:highlight w:val="none"/>
              </w:rPr>
              <w:t>1</w:t>
            </w:r>
          </w:p>
        </w:tc>
        <w:tc>
          <w:tcPr>
            <w:tcW w:w="4389" w:type="pct"/>
            <w:noWrap w:val="0"/>
            <w:vAlign w:val="center"/>
          </w:tcPr>
          <w:p w14:paraId="0D18234A">
            <w:pPr>
              <w:pStyle w:val="5"/>
              <w:spacing w:before="141"/>
              <w:ind w:right="1"/>
              <w:jc w:val="both"/>
              <w:rPr>
                <w:rFonts w:ascii="Times New Roman" w:hAnsi="Times New Roman" w:cs="Times New Roman"/>
                <w:szCs w:val="21"/>
                <w:highlight w:val="none"/>
                <w:shd w:val="clear" w:color="auto" w:fill="FFFFFF"/>
                <w:lang w:eastAsia="zh-CN"/>
              </w:rPr>
            </w:pPr>
            <w:r>
              <w:rPr>
                <w:rFonts w:hint="eastAsia" w:ascii="Times New Roman" w:hAnsi="Times New Roman" w:eastAsia="宋体" w:cs="Times New Roman"/>
                <w:sz w:val="21"/>
                <w:szCs w:val="22"/>
                <w:highlight w:val="none"/>
                <w:lang w:eastAsia="zh-CN"/>
              </w:rPr>
              <w:t>近3年内(2022年3月1日至投标截止时间，以合同签订时间为准)，至少承揽过</w:t>
            </w:r>
            <w:r>
              <w:rPr>
                <w:rFonts w:hint="eastAsia" w:ascii="Times New Roman" w:hAnsi="Times New Roman" w:eastAsia="宋体" w:cs="Times New Roman"/>
                <w:sz w:val="21"/>
                <w:szCs w:val="22"/>
                <w:highlight w:val="none"/>
                <w:lang w:val="en-US" w:eastAsia="zh-CN"/>
              </w:rPr>
              <w:t>累计</w:t>
            </w:r>
            <w:r>
              <w:rPr>
                <w:rFonts w:hint="eastAsia" w:ascii="Times New Roman" w:hAnsi="Times New Roman" w:eastAsia="宋体" w:cs="Times New Roman"/>
                <w:sz w:val="21"/>
                <w:szCs w:val="22"/>
                <w:highlight w:val="none"/>
                <w:lang w:eastAsia="zh-CN"/>
              </w:rPr>
              <w:t>合同额不少于500万元的服务器供货业绩、</w:t>
            </w:r>
            <w:r>
              <w:rPr>
                <w:rFonts w:hint="eastAsia" w:ascii="Times New Roman" w:hAnsi="Times New Roman" w:eastAsia="宋体" w:cs="Times New Roman"/>
                <w:sz w:val="21"/>
                <w:szCs w:val="22"/>
                <w:highlight w:val="none"/>
                <w:lang w:val="en-US" w:eastAsia="zh-CN"/>
              </w:rPr>
              <w:t>累计</w:t>
            </w:r>
            <w:r>
              <w:rPr>
                <w:rFonts w:hint="eastAsia" w:ascii="Times New Roman" w:hAnsi="Times New Roman" w:eastAsia="宋体" w:cs="Times New Roman"/>
                <w:sz w:val="21"/>
                <w:szCs w:val="22"/>
                <w:highlight w:val="none"/>
                <w:lang w:eastAsia="zh-CN"/>
              </w:rPr>
              <w:t>合同额不少于300万元的存储供货业绩、</w:t>
            </w:r>
            <w:r>
              <w:rPr>
                <w:rFonts w:hint="eastAsia" w:ascii="Times New Roman" w:hAnsi="Times New Roman" w:eastAsia="宋体" w:cs="Times New Roman"/>
                <w:sz w:val="21"/>
                <w:szCs w:val="22"/>
                <w:highlight w:val="none"/>
                <w:lang w:val="en-US" w:eastAsia="zh-CN"/>
              </w:rPr>
              <w:t>累计</w:t>
            </w:r>
            <w:r>
              <w:rPr>
                <w:rFonts w:hint="eastAsia" w:ascii="Times New Roman" w:hAnsi="Times New Roman" w:eastAsia="宋体" w:cs="Times New Roman"/>
                <w:sz w:val="21"/>
                <w:szCs w:val="22"/>
                <w:highlight w:val="none"/>
                <w:lang w:eastAsia="zh-CN"/>
              </w:rPr>
              <w:t>合同额不少于200万元的交换机供货业绩、</w:t>
            </w:r>
            <w:r>
              <w:rPr>
                <w:rFonts w:hint="eastAsia" w:ascii="Times New Roman" w:hAnsi="Times New Roman" w:eastAsia="宋体" w:cs="Times New Roman"/>
                <w:sz w:val="21"/>
                <w:szCs w:val="22"/>
                <w:highlight w:val="none"/>
                <w:lang w:val="en-US" w:eastAsia="zh-CN"/>
              </w:rPr>
              <w:t>累计</w:t>
            </w:r>
            <w:r>
              <w:rPr>
                <w:rFonts w:hint="eastAsia" w:ascii="Times New Roman" w:hAnsi="Times New Roman" w:eastAsia="宋体" w:cs="Times New Roman"/>
                <w:sz w:val="21"/>
                <w:szCs w:val="22"/>
                <w:highlight w:val="none"/>
                <w:lang w:eastAsia="zh-CN"/>
              </w:rPr>
              <w:t>合同额不少于200万元的网络安全供货业绩。</w:t>
            </w:r>
          </w:p>
        </w:tc>
      </w:tr>
      <w:tr w14:paraId="0064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trPr>
        <w:tc>
          <w:tcPr>
            <w:tcW w:w="610" w:type="pct"/>
            <w:noWrap w:val="0"/>
            <w:vAlign w:val="center"/>
          </w:tcPr>
          <w:p w14:paraId="37B95990">
            <w:pPr>
              <w:wordWrap w:val="0"/>
              <w:jc w:val="center"/>
              <w:rPr>
                <w:szCs w:val="21"/>
                <w:highlight w:val="none"/>
              </w:rPr>
            </w:pPr>
            <w:r>
              <w:rPr>
                <w:szCs w:val="21"/>
                <w:highlight w:val="none"/>
              </w:rPr>
              <w:t>2</w:t>
            </w:r>
          </w:p>
        </w:tc>
        <w:tc>
          <w:tcPr>
            <w:tcW w:w="4389" w:type="pct"/>
            <w:noWrap w:val="0"/>
            <w:vAlign w:val="center"/>
          </w:tcPr>
          <w:p w14:paraId="551F8BAF">
            <w:pPr>
              <w:pStyle w:val="5"/>
              <w:spacing w:before="141"/>
              <w:ind w:right="1"/>
              <w:jc w:val="both"/>
              <w:rPr>
                <w:rFonts w:ascii="Times New Roman" w:hAnsi="Times New Roman" w:cs="Times New Roman"/>
                <w:highlight w:val="none"/>
                <w:lang w:eastAsia="zh-CN"/>
              </w:rPr>
            </w:pPr>
            <w:r>
              <w:rPr>
                <w:rFonts w:ascii="Times New Roman" w:hAnsi="Times New Roman" w:cs="Times New Roman"/>
                <w:sz w:val="21"/>
                <w:szCs w:val="22"/>
                <w:highlight w:val="none"/>
                <w:lang w:eastAsia="zh-CN"/>
              </w:rPr>
              <w:t>近3年内（</w:t>
            </w:r>
            <w:r>
              <w:rPr>
                <w:rFonts w:hint="eastAsia" w:ascii="Times New Roman" w:hAnsi="Times New Roman" w:cs="Times New Roman"/>
                <w:sz w:val="21"/>
                <w:szCs w:val="22"/>
                <w:highlight w:val="none"/>
                <w:lang w:eastAsia="zh-CN"/>
              </w:rPr>
              <w:t>202</w:t>
            </w:r>
            <w:r>
              <w:rPr>
                <w:rFonts w:hint="eastAsia" w:ascii="Times New Roman" w:hAnsi="Times New Roman" w:cs="Times New Roman"/>
                <w:sz w:val="21"/>
                <w:szCs w:val="22"/>
                <w:highlight w:val="none"/>
                <w:lang w:val="en-US" w:eastAsia="zh-CN"/>
              </w:rPr>
              <w:t>2</w:t>
            </w:r>
            <w:r>
              <w:rPr>
                <w:rFonts w:hint="eastAsia" w:ascii="Times New Roman" w:hAnsi="Times New Roman" w:cs="Times New Roman"/>
                <w:sz w:val="21"/>
                <w:szCs w:val="22"/>
                <w:highlight w:val="none"/>
                <w:lang w:eastAsia="zh-CN"/>
              </w:rPr>
              <w:t>年</w:t>
            </w:r>
            <w:r>
              <w:rPr>
                <w:rFonts w:hint="eastAsia" w:ascii="Times New Roman" w:hAnsi="Times New Roman" w:cs="Times New Roman"/>
                <w:sz w:val="21"/>
                <w:szCs w:val="22"/>
                <w:highlight w:val="none"/>
                <w:lang w:val="en-US" w:eastAsia="zh-CN"/>
              </w:rPr>
              <w:t>3月</w:t>
            </w:r>
            <w:r>
              <w:rPr>
                <w:rFonts w:hint="eastAsia" w:ascii="Times New Roman" w:hAnsi="Times New Roman" w:cs="Times New Roman"/>
                <w:sz w:val="21"/>
                <w:szCs w:val="22"/>
                <w:highlight w:val="none"/>
                <w:lang w:eastAsia="zh-CN"/>
              </w:rPr>
              <w:t>1日</w:t>
            </w:r>
            <w:r>
              <w:rPr>
                <w:rFonts w:ascii="Times New Roman" w:hAnsi="Times New Roman" w:cs="Times New Roman"/>
                <w:sz w:val="21"/>
                <w:szCs w:val="22"/>
                <w:highlight w:val="none"/>
                <w:lang w:eastAsia="zh-CN"/>
              </w:rPr>
              <w:t>至投标截止时间，以合同签订时间为准），至少</w:t>
            </w:r>
            <w:r>
              <w:rPr>
                <w:rFonts w:hint="eastAsia" w:ascii="Times New Roman" w:hAnsi="Times New Roman" w:eastAsia="宋体" w:cs="Times New Roman"/>
                <w:sz w:val="21"/>
                <w:szCs w:val="22"/>
                <w:highlight w:val="none"/>
                <w:lang w:eastAsia="zh-CN"/>
              </w:rPr>
              <w:t>承揽过</w:t>
            </w:r>
            <w:r>
              <w:rPr>
                <w:rFonts w:hint="eastAsia" w:ascii="Times New Roman" w:hAnsi="Times New Roman" w:eastAsia="宋体" w:cs="Times New Roman"/>
                <w:sz w:val="21"/>
                <w:szCs w:val="22"/>
                <w:highlight w:val="none"/>
                <w:lang w:val="en-US" w:eastAsia="zh-CN"/>
              </w:rPr>
              <w:t>累计</w:t>
            </w:r>
            <w:r>
              <w:rPr>
                <w:rFonts w:hint="eastAsia" w:ascii="Times New Roman" w:hAnsi="Times New Roman" w:cs="Times New Roman"/>
                <w:sz w:val="21"/>
                <w:szCs w:val="22"/>
                <w:highlight w:val="none"/>
                <w:lang w:eastAsia="zh-CN"/>
              </w:rPr>
              <w:t>合同额不少于</w:t>
            </w:r>
            <w:r>
              <w:rPr>
                <w:rFonts w:hint="eastAsia" w:ascii="Times New Roman" w:hAnsi="Times New Roman" w:cs="Times New Roman"/>
                <w:sz w:val="21"/>
                <w:szCs w:val="22"/>
                <w:highlight w:val="none"/>
                <w:lang w:val="en-US" w:eastAsia="zh-CN"/>
              </w:rPr>
              <w:t>600万元的LED显示屏</w:t>
            </w:r>
            <w:r>
              <w:rPr>
                <w:rFonts w:ascii="Times New Roman" w:hAnsi="Times New Roman" w:cs="Times New Roman"/>
                <w:sz w:val="21"/>
                <w:szCs w:val="22"/>
                <w:highlight w:val="none"/>
                <w:lang w:eastAsia="zh-CN"/>
              </w:rPr>
              <w:t>供货业绩。</w:t>
            </w:r>
          </w:p>
        </w:tc>
      </w:tr>
      <w:tr w14:paraId="524B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trPr>
        <w:tc>
          <w:tcPr>
            <w:tcW w:w="610" w:type="pct"/>
            <w:noWrap w:val="0"/>
            <w:vAlign w:val="center"/>
          </w:tcPr>
          <w:p w14:paraId="6A74ADCB">
            <w:pPr>
              <w:wordWrap w:val="0"/>
              <w:jc w:val="center"/>
              <w:rPr>
                <w:szCs w:val="21"/>
                <w:highlight w:val="none"/>
              </w:rPr>
            </w:pPr>
            <w:r>
              <w:rPr>
                <w:szCs w:val="21"/>
                <w:highlight w:val="none"/>
              </w:rPr>
              <w:t>3</w:t>
            </w:r>
          </w:p>
        </w:tc>
        <w:tc>
          <w:tcPr>
            <w:tcW w:w="4389" w:type="pct"/>
            <w:noWrap w:val="0"/>
            <w:vAlign w:val="center"/>
          </w:tcPr>
          <w:p w14:paraId="08547B1F">
            <w:pPr>
              <w:pStyle w:val="5"/>
              <w:spacing w:before="141"/>
              <w:ind w:right="1"/>
              <w:jc w:val="both"/>
              <w:rPr>
                <w:rFonts w:ascii="Times New Roman" w:hAnsi="Times New Roman" w:cs="Times New Roman"/>
                <w:highlight w:val="none"/>
                <w:lang w:eastAsia="zh-CN"/>
              </w:rPr>
            </w:pPr>
            <w:r>
              <w:rPr>
                <w:rFonts w:ascii="Times New Roman" w:hAnsi="Times New Roman" w:cs="Times New Roman"/>
                <w:sz w:val="21"/>
                <w:szCs w:val="22"/>
                <w:highlight w:val="none"/>
                <w:lang w:eastAsia="zh-CN"/>
              </w:rPr>
              <w:t>近3年内（</w:t>
            </w:r>
            <w:r>
              <w:rPr>
                <w:rFonts w:hint="eastAsia" w:ascii="Times New Roman" w:hAnsi="Times New Roman" w:cs="Times New Roman"/>
                <w:sz w:val="21"/>
                <w:szCs w:val="22"/>
                <w:highlight w:val="none"/>
                <w:lang w:eastAsia="zh-CN"/>
              </w:rPr>
              <w:t>202</w:t>
            </w:r>
            <w:r>
              <w:rPr>
                <w:rFonts w:hint="eastAsia" w:ascii="Times New Roman" w:hAnsi="Times New Roman" w:cs="Times New Roman"/>
                <w:sz w:val="21"/>
                <w:szCs w:val="22"/>
                <w:highlight w:val="none"/>
                <w:lang w:val="en-US" w:eastAsia="zh-CN"/>
              </w:rPr>
              <w:t>2</w:t>
            </w:r>
            <w:r>
              <w:rPr>
                <w:rFonts w:hint="eastAsia" w:ascii="Times New Roman" w:hAnsi="Times New Roman" w:cs="Times New Roman"/>
                <w:sz w:val="21"/>
                <w:szCs w:val="22"/>
                <w:highlight w:val="none"/>
                <w:lang w:eastAsia="zh-CN"/>
              </w:rPr>
              <w:t>年</w:t>
            </w:r>
            <w:r>
              <w:rPr>
                <w:rFonts w:hint="eastAsia" w:ascii="Times New Roman" w:hAnsi="Times New Roman" w:cs="Times New Roman"/>
                <w:sz w:val="21"/>
                <w:szCs w:val="22"/>
                <w:highlight w:val="none"/>
                <w:lang w:val="en-US" w:eastAsia="zh-CN"/>
              </w:rPr>
              <w:t>3月</w:t>
            </w:r>
            <w:r>
              <w:rPr>
                <w:rFonts w:hint="eastAsia" w:ascii="Times New Roman" w:hAnsi="Times New Roman" w:cs="Times New Roman"/>
                <w:sz w:val="21"/>
                <w:szCs w:val="22"/>
                <w:highlight w:val="none"/>
                <w:lang w:eastAsia="zh-CN"/>
              </w:rPr>
              <w:t>1日</w:t>
            </w:r>
            <w:r>
              <w:rPr>
                <w:rFonts w:ascii="Times New Roman" w:hAnsi="Times New Roman" w:cs="Times New Roman"/>
                <w:sz w:val="21"/>
                <w:szCs w:val="22"/>
                <w:highlight w:val="none"/>
                <w:lang w:eastAsia="zh-CN"/>
              </w:rPr>
              <w:t>至投标截止时间，以合同签订时间为准），至少</w:t>
            </w:r>
            <w:r>
              <w:rPr>
                <w:rFonts w:hint="eastAsia" w:ascii="Times New Roman" w:hAnsi="Times New Roman" w:eastAsia="宋体" w:cs="Times New Roman"/>
                <w:sz w:val="21"/>
                <w:szCs w:val="22"/>
                <w:highlight w:val="none"/>
                <w:lang w:eastAsia="zh-CN"/>
              </w:rPr>
              <w:t>承揽过</w:t>
            </w:r>
            <w:r>
              <w:rPr>
                <w:rFonts w:hint="eastAsia" w:ascii="Times New Roman" w:hAnsi="Times New Roman" w:eastAsia="宋体" w:cs="Times New Roman"/>
                <w:sz w:val="21"/>
                <w:szCs w:val="22"/>
                <w:highlight w:val="none"/>
                <w:lang w:val="en-US" w:eastAsia="zh-CN"/>
              </w:rPr>
              <w:t>累计</w:t>
            </w:r>
            <w:r>
              <w:rPr>
                <w:rFonts w:hint="eastAsia" w:ascii="Times New Roman" w:hAnsi="Times New Roman" w:cs="Times New Roman"/>
                <w:sz w:val="21"/>
                <w:szCs w:val="22"/>
                <w:highlight w:val="none"/>
                <w:lang w:eastAsia="zh-CN"/>
              </w:rPr>
              <w:t>合同额不少于</w:t>
            </w:r>
            <w:r>
              <w:rPr>
                <w:rFonts w:hint="eastAsia" w:ascii="Times New Roman" w:hAnsi="Times New Roman" w:cs="Times New Roman"/>
                <w:sz w:val="21"/>
                <w:szCs w:val="22"/>
                <w:highlight w:val="none"/>
                <w:lang w:val="en-US" w:eastAsia="zh-CN"/>
              </w:rPr>
              <w:t>100万元的OTN设备</w:t>
            </w:r>
            <w:r>
              <w:rPr>
                <w:rFonts w:ascii="Times New Roman" w:hAnsi="Times New Roman" w:cs="Times New Roman"/>
                <w:sz w:val="21"/>
                <w:szCs w:val="22"/>
                <w:highlight w:val="none"/>
                <w:lang w:eastAsia="zh-CN"/>
              </w:rPr>
              <w:t>供货业绩。</w:t>
            </w:r>
          </w:p>
        </w:tc>
      </w:tr>
      <w:tr w14:paraId="4FD01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610" w:type="pct"/>
            <w:noWrap w:val="0"/>
            <w:vAlign w:val="center"/>
          </w:tcPr>
          <w:p w14:paraId="399EAA01">
            <w:pPr>
              <w:wordWrap w:val="0"/>
              <w:jc w:val="center"/>
              <w:rPr>
                <w:szCs w:val="21"/>
                <w:highlight w:val="none"/>
              </w:rPr>
            </w:pPr>
            <w:r>
              <w:rPr>
                <w:szCs w:val="21"/>
                <w:highlight w:val="none"/>
              </w:rPr>
              <w:t>4</w:t>
            </w:r>
          </w:p>
        </w:tc>
        <w:tc>
          <w:tcPr>
            <w:tcW w:w="4389" w:type="pct"/>
            <w:noWrap w:val="0"/>
            <w:vAlign w:val="center"/>
          </w:tcPr>
          <w:p w14:paraId="04640643">
            <w:pPr>
              <w:pStyle w:val="5"/>
              <w:spacing w:before="141"/>
              <w:ind w:right="1"/>
              <w:jc w:val="both"/>
              <w:rPr>
                <w:rFonts w:ascii="Times New Roman" w:hAnsi="Times New Roman" w:cs="Times New Roman"/>
                <w:highlight w:val="none"/>
                <w:lang w:eastAsia="zh-CN"/>
              </w:rPr>
            </w:pPr>
            <w:r>
              <w:rPr>
                <w:rFonts w:ascii="Times New Roman" w:hAnsi="Times New Roman" w:cs="Times New Roman"/>
                <w:sz w:val="21"/>
                <w:szCs w:val="22"/>
                <w:highlight w:val="none"/>
                <w:lang w:eastAsia="zh-CN"/>
              </w:rPr>
              <w:t>近3年内（</w:t>
            </w:r>
            <w:r>
              <w:rPr>
                <w:rFonts w:hint="eastAsia" w:ascii="Times New Roman" w:hAnsi="Times New Roman" w:cs="Times New Roman"/>
                <w:sz w:val="21"/>
                <w:szCs w:val="22"/>
                <w:highlight w:val="none"/>
                <w:lang w:eastAsia="zh-CN"/>
              </w:rPr>
              <w:t>202</w:t>
            </w:r>
            <w:r>
              <w:rPr>
                <w:rFonts w:hint="eastAsia" w:ascii="Times New Roman" w:hAnsi="Times New Roman" w:cs="Times New Roman"/>
                <w:sz w:val="21"/>
                <w:szCs w:val="22"/>
                <w:highlight w:val="none"/>
                <w:lang w:val="en-US" w:eastAsia="zh-CN"/>
              </w:rPr>
              <w:t>2</w:t>
            </w:r>
            <w:r>
              <w:rPr>
                <w:rFonts w:hint="eastAsia" w:ascii="Times New Roman" w:hAnsi="Times New Roman" w:cs="Times New Roman"/>
                <w:sz w:val="21"/>
                <w:szCs w:val="22"/>
                <w:highlight w:val="none"/>
                <w:lang w:eastAsia="zh-CN"/>
              </w:rPr>
              <w:t>年</w:t>
            </w:r>
            <w:r>
              <w:rPr>
                <w:rFonts w:hint="eastAsia" w:ascii="Times New Roman" w:hAnsi="Times New Roman" w:cs="Times New Roman"/>
                <w:sz w:val="21"/>
                <w:szCs w:val="22"/>
                <w:highlight w:val="none"/>
                <w:lang w:val="en-US" w:eastAsia="zh-CN"/>
              </w:rPr>
              <w:t>3月</w:t>
            </w:r>
            <w:r>
              <w:rPr>
                <w:rFonts w:hint="eastAsia" w:ascii="Times New Roman" w:hAnsi="Times New Roman" w:cs="Times New Roman"/>
                <w:sz w:val="21"/>
                <w:szCs w:val="22"/>
                <w:highlight w:val="none"/>
                <w:lang w:eastAsia="zh-CN"/>
              </w:rPr>
              <w:t>1日</w:t>
            </w:r>
            <w:r>
              <w:rPr>
                <w:rFonts w:ascii="Times New Roman" w:hAnsi="Times New Roman" w:cs="Times New Roman"/>
                <w:sz w:val="21"/>
                <w:szCs w:val="22"/>
                <w:highlight w:val="none"/>
                <w:lang w:eastAsia="zh-CN"/>
              </w:rPr>
              <w:t>至投标截止时间，以合同签订时间为准），至少</w:t>
            </w:r>
            <w:r>
              <w:rPr>
                <w:rFonts w:hint="eastAsia" w:ascii="Times New Roman" w:hAnsi="Times New Roman" w:eastAsia="宋体" w:cs="Times New Roman"/>
                <w:sz w:val="21"/>
                <w:szCs w:val="22"/>
                <w:highlight w:val="none"/>
                <w:lang w:eastAsia="zh-CN"/>
              </w:rPr>
              <w:t>承揽过</w:t>
            </w:r>
            <w:r>
              <w:rPr>
                <w:rFonts w:hint="eastAsia" w:ascii="Times New Roman" w:hAnsi="Times New Roman" w:eastAsia="宋体" w:cs="Times New Roman"/>
                <w:sz w:val="21"/>
                <w:szCs w:val="22"/>
                <w:highlight w:val="none"/>
                <w:lang w:val="en-US" w:eastAsia="zh-CN"/>
              </w:rPr>
              <w:t>累计</w:t>
            </w:r>
            <w:r>
              <w:rPr>
                <w:rFonts w:hint="eastAsia" w:ascii="Times New Roman" w:hAnsi="Times New Roman" w:cs="Times New Roman"/>
                <w:sz w:val="21"/>
                <w:szCs w:val="22"/>
                <w:highlight w:val="none"/>
                <w:lang w:eastAsia="zh-CN"/>
              </w:rPr>
              <w:t>合同额不少于</w:t>
            </w:r>
            <w:r>
              <w:rPr>
                <w:rFonts w:hint="eastAsia" w:ascii="Times New Roman" w:hAnsi="Times New Roman" w:cs="Times New Roman"/>
                <w:sz w:val="21"/>
                <w:szCs w:val="22"/>
                <w:highlight w:val="none"/>
                <w:lang w:val="en-US" w:eastAsia="zh-CN"/>
              </w:rPr>
              <w:t>200万元的</w:t>
            </w:r>
            <w:r>
              <w:rPr>
                <w:rFonts w:hint="eastAsia" w:ascii="宋体" w:hAnsi="宋体" w:eastAsia="宋体" w:cs="宋体"/>
                <w:kern w:val="0"/>
                <w:sz w:val="21"/>
                <w:szCs w:val="21"/>
                <w:highlight w:val="none"/>
              </w:rPr>
              <w:t>微模块机柜</w:t>
            </w:r>
            <w:r>
              <w:rPr>
                <w:rFonts w:ascii="Times New Roman" w:hAnsi="Times New Roman" w:cs="Times New Roman"/>
                <w:sz w:val="21"/>
                <w:szCs w:val="22"/>
                <w:highlight w:val="none"/>
                <w:lang w:eastAsia="zh-CN"/>
              </w:rPr>
              <w:t>供货业绩。</w:t>
            </w:r>
          </w:p>
        </w:tc>
      </w:tr>
      <w:tr w14:paraId="4A6E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trPr>
        <w:tc>
          <w:tcPr>
            <w:tcW w:w="610" w:type="pct"/>
            <w:noWrap w:val="0"/>
            <w:vAlign w:val="center"/>
          </w:tcPr>
          <w:p w14:paraId="0D1F087B">
            <w:pPr>
              <w:wordWrap w:val="0"/>
              <w:jc w:val="center"/>
              <w:rPr>
                <w:rFonts w:hint="eastAsia" w:eastAsia="宋体"/>
                <w:szCs w:val="21"/>
                <w:highlight w:val="none"/>
                <w:lang w:val="en-US" w:eastAsia="zh-CN"/>
              </w:rPr>
            </w:pPr>
            <w:r>
              <w:rPr>
                <w:rFonts w:hint="eastAsia"/>
                <w:szCs w:val="21"/>
                <w:highlight w:val="none"/>
                <w:lang w:val="en-US" w:eastAsia="zh-CN"/>
              </w:rPr>
              <w:t>5</w:t>
            </w:r>
          </w:p>
        </w:tc>
        <w:tc>
          <w:tcPr>
            <w:tcW w:w="4389" w:type="pct"/>
            <w:noWrap w:val="0"/>
            <w:vAlign w:val="center"/>
          </w:tcPr>
          <w:p w14:paraId="262888FB">
            <w:pPr>
              <w:pStyle w:val="5"/>
              <w:spacing w:before="141"/>
              <w:ind w:right="1"/>
              <w:jc w:val="both"/>
              <w:rPr>
                <w:rFonts w:ascii="Times New Roman" w:hAnsi="Times New Roman" w:cs="Times New Roman"/>
                <w:sz w:val="21"/>
                <w:szCs w:val="22"/>
                <w:highlight w:val="none"/>
                <w:lang w:eastAsia="zh-CN"/>
              </w:rPr>
            </w:pPr>
            <w:r>
              <w:rPr>
                <w:rFonts w:ascii="Times New Roman" w:hAnsi="Times New Roman" w:cs="Times New Roman"/>
                <w:sz w:val="21"/>
                <w:szCs w:val="22"/>
                <w:highlight w:val="none"/>
                <w:lang w:eastAsia="zh-CN"/>
              </w:rPr>
              <w:t>近3年内（</w:t>
            </w:r>
            <w:r>
              <w:rPr>
                <w:rFonts w:hint="eastAsia" w:ascii="Times New Roman" w:hAnsi="Times New Roman" w:cs="Times New Roman"/>
                <w:sz w:val="21"/>
                <w:szCs w:val="22"/>
                <w:highlight w:val="none"/>
                <w:lang w:eastAsia="zh-CN"/>
              </w:rPr>
              <w:t>202</w:t>
            </w:r>
            <w:r>
              <w:rPr>
                <w:rFonts w:hint="eastAsia" w:ascii="Times New Roman" w:hAnsi="Times New Roman" w:cs="Times New Roman"/>
                <w:sz w:val="21"/>
                <w:szCs w:val="22"/>
                <w:highlight w:val="none"/>
                <w:lang w:val="en-US" w:eastAsia="zh-CN"/>
              </w:rPr>
              <w:t>2</w:t>
            </w:r>
            <w:r>
              <w:rPr>
                <w:rFonts w:hint="eastAsia" w:ascii="Times New Roman" w:hAnsi="Times New Roman" w:cs="Times New Roman"/>
                <w:sz w:val="21"/>
                <w:szCs w:val="22"/>
                <w:highlight w:val="none"/>
                <w:lang w:eastAsia="zh-CN"/>
              </w:rPr>
              <w:t>年</w:t>
            </w:r>
            <w:r>
              <w:rPr>
                <w:rFonts w:hint="eastAsia" w:ascii="Times New Roman" w:hAnsi="Times New Roman" w:cs="Times New Roman"/>
                <w:sz w:val="21"/>
                <w:szCs w:val="22"/>
                <w:highlight w:val="none"/>
                <w:lang w:val="en-US" w:eastAsia="zh-CN"/>
              </w:rPr>
              <w:t>3月</w:t>
            </w:r>
            <w:r>
              <w:rPr>
                <w:rFonts w:hint="eastAsia" w:ascii="Times New Roman" w:hAnsi="Times New Roman" w:cs="Times New Roman"/>
                <w:sz w:val="21"/>
                <w:szCs w:val="22"/>
                <w:highlight w:val="none"/>
                <w:lang w:eastAsia="zh-CN"/>
              </w:rPr>
              <w:t>1日</w:t>
            </w:r>
            <w:r>
              <w:rPr>
                <w:rFonts w:ascii="Times New Roman" w:hAnsi="Times New Roman" w:cs="Times New Roman"/>
                <w:sz w:val="21"/>
                <w:szCs w:val="22"/>
                <w:highlight w:val="none"/>
                <w:lang w:eastAsia="zh-CN"/>
              </w:rPr>
              <w:t>至投标截止时间，以合同签订时间为准），至少</w:t>
            </w:r>
            <w:r>
              <w:rPr>
                <w:rFonts w:hint="eastAsia" w:ascii="Times New Roman" w:hAnsi="Times New Roman" w:eastAsia="宋体" w:cs="Times New Roman"/>
                <w:sz w:val="21"/>
                <w:szCs w:val="22"/>
                <w:highlight w:val="none"/>
                <w:lang w:eastAsia="zh-CN"/>
              </w:rPr>
              <w:t>承揽过</w:t>
            </w:r>
            <w:r>
              <w:rPr>
                <w:rFonts w:hint="eastAsia" w:ascii="Times New Roman" w:hAnsi="Times New Roman" w:eastAsia="宋体" w:cs="Times New Roman"/>
                <w:sz w:val="21"/>
                <w:szCs w:val="22"/>
                <w:highlight w:val="none"/>
                <w:lang w:val="en-US" w:eastAsia="zh-CN"/>
              </w:rPr>
              <w:t>累计</w:t>
            </w:r>
            <w:r>
              <w:rPr>
                <w:rFonts w:hint="eastAsia" w:ascii="Times New Roman" w:hAnsi="Times New Roman" w:cs="Times New Roman"/>
                <w:sz w:val="21"/>
                <w:szCs w:val="22"/>
                <w:highlight w:val="none"/>
                <w:lang w:eastAsia="zh-CN"/>
              </w:rPr>
              <w:t>合同金额不少于</w:t>
            </w:r>
            <w:r>
              <w:rPr>
                <w:rFonts w:hint="eastAsia" w:ascii="Times New Roman" w:hAnsi="Times New Roman" w:cs="Times New Roman"/>
                <w:sz w:val="21"/>
                <w:szCs w:val="22"/>
                <w:highlight w:val="none"/>
                <w:lang w:val="en-US" w:eastAsia="zh-CN"/>
              </w:rPr>
              <w:t>50万元的UPS电源</w:t>
            </w:r>
            <w:r>
              <w:rPr>
                <w:rFonts w:ascii="Times New Roman" w:hAnsi="Times New Roman" w:cs="Times New Roman"/>
                <w:sz w:val="21"/>
                <w:szCs w:val="22"/>
                <w:highlight w:val="none"/>
                <w:lang w:eastAsia="zh-CN"/>
              </w:rPr>
              <w:t>供货业绩。</w:t>
            </w:r>
          </w:p>
        </w:tc>
      </w:tr>
    </w:tbl>
    <w:p w14:paraId="5A669FB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宋体" w:hAnsi="宋体" w:eastAsia="宋体"/>
          <w:color w:val="000000"/>
          <w:szCs w:val="21"/>
          <w:highlight w:val="none"/>
          <w:lang w:val="en-US" w:eastAsia="zh-CN"/>
        </w:rPr>
      </w:pPr>
      <w:r>
        <w:rPr>
          <w:rFonts w:hint="eastAsia" w:ascii="宋体" w:hAnsi="宋体"/>
          <w:color w:val="000000"/>
          <w:szCs w:val="21"/>
          <w:highlight w:val="none"/>
        </w:rPr>
        <w:t>注：</w:t>
      </w:r>
      <w:r>
        <w:rPr>
          <w:rFonts w:ascii="宋体" w:hAnsi="宋体"/>
          <w:color w:val="000000"/>
          <w:szCs w:val="21"/>
          <w:highlight w:val="none"/>
          <w:shd w:val="clear" w:color="auto" w:fill="FFFFFF"/>
        </w:rPr>
        <w:t>代理商</w:t>
      </w:r>
      <w:r>
        <w:rPr>
          <w:rFonts w:hint="eastAsia" w:ascii="宋体" w:hAnsi="宋体"/>
          <w:color w:val="000000"/>
          <w:szCs w:val="21"/>
          <w:highlight w:val="none"/>
          <w:shd w:val="clear" w:color="auto" w:fill="FFFFFF"/>
        </w:rPr>
        <w:t>和制造商的业绩可互用，以上业绩不包含制造商和代理商签订的合同</w:t>
      </w:r>
      <w:r>
        <w:rPr>
          <w:rFonts w:hint="eastAsia" w:ascii="宋体" w:hAnsi="宋体"/>
          <w:color w:val="000000"/>
          <w:szCs w:val="21"/>
          <w:highlight w:val="none"/>
        </w:rPr>
        <w:t>。</w:t>
      </w:r>
    </w:p>
    <w:p w14:paraId="2A774BBA">
      <w:pPr>
        <w:wordWrap w:val="0"/>
        <w:autoSpaceDE w:val="0"/>
        <w:autoSpaceDN w:val="0"/>
        <w:adjustRightInd w:val="0"/>
        <w:ind w:right="-20"/>
        <w:jc w:val="left"/>
        <w:outlineLvl w:val="3"/>
        <w:rPr>
          <w:b/>
          <w:sz w:val="28"/>
          <w:szCs w:val="28"/>
          <w:highlight w:val="none"/>
        </w:rPr>
      </w:pPr>
      <w:r>
        <w:rPr>
          <w:b/>
          <w:sz w:val="28"/>
          <w:szCs w:val="28"/>
          <w:highlight w:val="none"/>
        </w:rPr>
        <w:br w:type="page"/>
      </w:r>
      <w:r>
        <w:rPr>
          <w:b/>
          <w:sz w:val="28"/>
          <w:szCs w:val="28"/>
          <w:highlight w:val="none"/>
        </w:rPr>
        <w:t>附件2：评标办法</w:t>
      </w:r>
    </w:p>
    <w:p w14:paraId="64A68E36">
      <w:pPr>
        <w:snapToGrid w:val="0"/>
        <w:spacing w:line="360" w:lineRule="auto"/>
        <w:ind w:firstLine="480"/>
        <w:jc w:val="center"/>
        <w:textAlignment w:val="baseline"/>
        <w:rPr>
          <w:b/>
          <w:sz w:val="28"/>
          <w:szCs w:val="28"/>
          <w:highlight w:val="none"/>
        </w:rPr>
      </w:pPr>
    </w:p>
    <w:p w14:paraId="43A22C99">
      <w:pPr>
        <w:wordWrap w:val="0"/>
        <w:spacing w:before="0" w:line="360" w:lineRule="auto"/>
        <w:outlineLvl w:val="9"/>
        <w:rPr>
          <w:rFonts w:hint="eastAsia" w:ascii="宋体" w:hAnsi="宋体" w:cs="宋体"/>
          <w:color w:val="auto"/>
          <w:spacing w:val="1"/>
          <w:sz w:val="28"/>
          <w:szCs w:val="28"/>
          <w:highlight w:val="none"/>
        </w:rPr>
      </w:pPr>
      <w:r>
        <w:rPr>
          <w:rFonts w:hint="eastAsia" w:ascii="宋体" w:hAnsi="宋体" w:cs="宋体"/>
          <w:color w:val="auto"/>
          <w:spacing w:val="2"/>
          <w:sz w:val="24"/>
          <w:szCs w:val="24"/>
          <w:highlight w:val="none"/>
        </w:rPr>
        <w:t>评标办法前附表</w:t>
      </w:r>
    </w:p>
    <w:tbl>
      <w:tblPr>
        <w:tblStyle w:val="3"/>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317"/>
        <w:gridCol w:w="7197"/>
      </w:tblGrid>
      <w:tr w14:paraId="5DEA2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460" w:type="dxa"/>
            <w:gridSpan w:val="2"/>
            <w:noWrap w:val="0"/>
            <w:vAlign w:val="center"/>
          </w:tcPr>
          <w:p w14:paraId="6CAC28C7">
            <w:pPr>
              <w:adjustRightInd w:val="0"/>
              <w:snapToGrid w:val="0"/>
              <w:spacing w:line="32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w:t>
            </w:r>
          </w:p>
        </w:tc>
        <w:tc>
          <w:tcPr>
            <w:tcW w:w="7197" w:type="dxa"/>
            <w:noWrap w:val="0"/>
            <w:vAlign w:val="center"/>
          </w:tcPr>
          <w:p w14:paraId="1C00D56D">
            <w:pPr>
              <w:adjustRightInd w:val="0"/>
              <w:snapToGrid w:val="0"/>
              <w:spacing w:line="32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评审因素与标准</w:t>
            </w:r>
          </w:p>
        </w:tc>
      </w:tr>
      <w:tr w14:paraId="3B79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77" w:hRule="atLeast"/>
          <w:jc w:val="center"/>
        </w:trPr>
        <w:tc>
          <w:tcPr>
            <w:tcW w:w="1143" w:type="dxa"/>
            <w:noWrap w:val="0"/>
            <w:vAlign w:val="center"/>
          </w:tcPr>
          <w:p w14:paraId="5A7CBE1E">
            <w:pPr>
              <w:snapToGrid w:val="0"/>
              <w:spacing w:line="32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1</w:t>
            </w:r>
          </w:p>
        </w:tc>
        <w:tc>
          <w:tcPr>
            <w:tcW w:w="1317" w:type="dxa"/>
            <w:noWrap w:val="0"/>
            <w:vAlign w:val="center"/>
          </w:tcPr>
          <w:p w14:paraId="4863034D">
            <w:pPr>
              <w:snapToGrid w:val="0"/>
              <w:spacing w:line="320" w:lineRule="exact"/>
              <w:jc w:val="center"/>
              <w:rPr>
                <w:rFonts w:hint="eastAsia" w:ascii="宋体" w:hAnsi="宋体" w:cs="宋体"/>
                <w:b/>
                <w:color w:val="auto"/>
                <w:sz w:val="21"/>
                <w:szCs w:val="21"/>
                <w:highlight w:val="none"/>
              </w:rPr>
            </w:pPr>
            <w:r>
              <w:rPr>
                <w:rFonts w:hint="eastAsia" w:ascii="宋体" w:hAnsi="宋体" w:cs="宋体"/>
                <w:color w:val="auto"/>
                <w:sz w:val="21"/>
                <w:szCs w:val="21"/>
                <w:highlight w:val="none"/>
              </w:rPr>
              <w:t>评标办法</w:t>
            </w:r>
          </w:p>
        </w:tc>
        <w:tc>
          <w:tcPr>
            <w:tcW w:w="7197" w:type="dxa"/>
            <w:noWrap w:val="0"/>
            <w:vAlign w:val="center"/>
          </w:tcPr>
          <w:p w14:paraId="0FE4D966">
            <w:pPr>
              <w:snapToGrid w:val="0"/>
              <w:spacing w:line="3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本次评标采用技术评分最低标价法，双信封形式。</w:t>
            </w:r>
          </w:p>
          <w:p w14:paraId="2DB8A41B">
            <w:pPr>
              <w:snapToGrid w:val="0"/>
              <w:spacing w:line="320" w:lineRule="exact"/>
              <w:ind w:firstLine="416" w:firstLineChars="200"/>
              <w:rPr>
                <w:rFonts w:hint="eastAsia" w:ascii="宋体" w:hAnsi="宋体" w:cs="宋体"/>
                <w:color w:val="auto"/>
                <w:sz w:val="21"/>
                <w:szCs w:val="21"/>
                <w:highlight w:val="none"/>
              </w:rPr>
            </w:pPr>
            <w:r>
              <w:rPr>
                <w:rFonts w:hint="eastAsia" w:ascii="宋体" w:hAnsi="宋体" w:cs="宋体"/>
                <w:color w:val="auto"/>
                <w:spacing w:val="-1"/>
                <w:sz w:val="21"/>
                <w:szCs w:val="21"/>
                <w:highlight w:val="none"/>
              </w:rPr>
              <w:t>评标委员会对满足招标文件实质性要求的投标文件</w:t>
            </w:r>
            <w:r>
              <w:rPr>
                <w:rFonts w:hint="eastAsia" w:ascii="宋体" w:hAnsi="宋体" w:cs="宋体"/>
                <w:color w:val="auto"/>
                <w:sz w:val="21"/>
                <w:szCs w:val="21"/>
                <w:highlight w:val="none"/>
              </w:rPr>
              <w:t>第一个信封，按照本章第2.2款规定的评分标准进行打分，并按技术得分由高到低顺序确定</w:t>
            </w:r>
            <w:r>
              <w:rPr>
                <w:rFonts w:hint="eastAsia" w:ascii="宋体" w:hAnsi="宋体" w:cs="宋体"/>
                <w:color w:val="auto"/>
                <w:sz w:val="21"/>
                <w:szCs w:val="21"/>
                <w:highlight w:val="none"/>
                <w:lang w:eastAsia="zh-CN"/>
              </w:rPr>
              <w:t>前</w:t>
            </w:r>
            <w:r>
              <w:rPr>
                <w:rFonts w:hint="eastAsia" w:ascii="宋体" w:hAnsi="宋体" w:cs="宋体"/>
                <w:color w:val="auto"/>
                <w:sz w:val="21"/>
                <w:szCs w:val="21"/>
                <w:highlight w:val="none"/>
              </w:rPr>
              <w:t>3名投标人进入第二个信封评审。若技术得分相同，以技术</w:t>
            </w:r>
            <w:r>
              <w:rPr>
                <w:rFonts w:hint="eastAsia" w:ascii="宋体" w:hAnsi="宋体" w:cs="宋体"/>
                <w:color w:val="auto"/>
                <w:sz w:val="21"/>
                <w:szCs w:val="21"/>
                <w:highlight w:val="none"/>
                <w:lang w:val="en-US" w:eastAsia="zh-CN"/>
              </w:rPr>
              <w:t>暗标</w:t>
            </w:r>
            <w:r>
              <w:rPr>
                <w:rFonts w:hint="eastAsia" w:ascii="宋体" w:hAnsi="宋体" w:cs="宋体"/>
                <w:color w:val="auto"/>
                <w:sz w:val="21"/>
                <w:szCs w:val="21"/>
                <w:highlight w:val="none"/>
              </w:rPr>
              <w:t>得分高的投标人优先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技术暗标得分也相同的，以</w:t>
            </w:r>
            <w:r>
              <w:rPr>
                <w:rFonts w:hint="eastAsia" w:ascii="宋体" w:hAnsi="宋体" w:cs="宋体"/>
                <w:color w:val="auto"/>
                <w:sz w:val="21"/>
                <w:szCs w:val="21"/>
                <w:highlight w:val="none"/>
              </w:rPr>
              <w:t>满足资格审查</w:t>
            </w:r>
            <w:r>
              <w:rPr>
                <w:rFonts w:hint="eastAsia" w:ascii="宋体" w:hAnsi="宋体" w:cs="宋体"/>
                <w:color w:val="auto"/>
                <w:sz w:val="21"/>
                <w:szCs w:val="21"/>
                <w:highlight w:val="none"/>
                <w:lang w:eastAsia="zh-CN"/>
              </w:rPr>
              <w:t>条件（</w:t>
            </w:r>
            <w:r>
              <w:rPr>
                <w:rFonts w:hint="eastAsia" w:ascii="宋体" w:hAnsi="宋体" w:cs="宋体"/>
                <w:color w:val="auto"/>
                <w:sz w:val="21"/>
                <w:szCs w:val="21"/>
                <w:highlight w:val="none"/>
              </w:rPr>
              <w:t>业绩最低要求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累计</w:t>
            </w:r>
            <w:r>
              <w:rPr>
                <w:rFonts w:hint="eastAsia" w:ascii="宋体" w:hAnsi="宋体" w:cs="宋体"/>
                <w:color w:val="auto"/>
                <w:sz w:val="21"/>
                <w:szCs w:val="21"/>
                <w:highlight w:val="none"/>
                <w:lang w:val="en-US" w:eastAsia="zh-CN"/>
              </w:rPr>
              <w:t>合同金额高的</w:t>
            </w:r>
            <w:r>
              <w:rPr>
                <w:rFonts w:hint="eastAsia" w:ascii="宋体" w:hAnsi="宋体" w:cs="宋体"/>
                <w:color w:val="auto"/>
                <w:sz w:val="21"/>
                <w:szCs w:val="21"/>
                <w:highlight w:val="none"/>
              </w:rPr>
              <w:t>投标人优先。未通过第一信封评审</w:t>
            </w:r>
            <w:r>
              <w:rPr>
                <w:rFonts w:hint="eastAsia" w:ascii="宋体" w:hAnsi="宋体" w:cs="宋体"/>
                <w:color w:val="auto"/>
                <w:sz w:val="21"/>
                <w:szCs w:val="21"/>
                <w:highlight w:val="none"/>
                <w:lang w:val="en-US" w:eastAsia="zh-CN"/>
              </w:rPr>
              <w:t>或</w:t>
            </w:r>
            <w:r>
              <w:rPr>
                <w:rFonts w:hint="eastAsia" w:ascii="宋体" w:hAnsi="宋体" w:cs="宋体"/>
                <w:color w:val="auto"/>
                <w:sz w:val="21"/>
                <w:szCs w:val="21"/>
                <w:highlight w:val="none"/>
              </w:rPr>
              <w:t>技术得分未进入前3名的投标人，其第二信封不予开封。</w:t>
            </w:r>
          </w:p>
          <w:p w14:paraId="08200ADE">
            <w:pPr>
              <w:snapToGrid w:val="0"/>
              <w:spacing w:line="320" w:lineRule="exact"/>
              <w:ind w:firstLine="420" w:firstLineChars="200"/>
              <w:rPr>
                <w:rFonts w:hint="eastAsia" w:ascii="宋体" w:hAnsi="宋体" w:cs="宋体"/>
                <w:color w:val="auto"/>
                <w:sz w:val="22"/>
                <w:szCs w:val="22"/>
                <w:highlight w:val="none"/>
              </w:rPr>
            </w:pPr>
            <w:r>
              <w:rPr>
                <w:rFonts w:hint="eastAsia" w:ascii="宋体" w:hAnsi="宋体"/>
                <w:color w:val="auto"/>
                <w:sz w:val="21"/>
                <w:szCs w:val="22"/>
                <w:highlight w:val="none"/>
              </w:rPr>
              <w:t>评标委员会按第二个信封经评审的评标价由低到高的顺序，向招标人推荐1-3名中标候选人。</w:t>
            </w:r>
          </w:p>
          <w:p w14:paraId="59AF6A6D">
            <w:pPr>
              <w:snapToGrid w:val="0"/>
              <w:spacing w:line="3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评标价相等时，评标委员会依次按照以下优先顺序推荐中标候选人：</w:t>
            </w:r>
          </w:p>
          <w:p w14:paraId="07F654CC">
            <w:pPr>
              <w:snapToGrid w:val="0"/>
              <w:spacing w:line="320" w:lineRule="exact"/>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（1）第一个信封技术得分较高的优先；</w:t>
            </w:r>
          </w:p>
          <w:p w14:paraId="70681072">
            <w:pPr>
              <w:snapToGrid w:val="0"/>
              <w:spacing w:line="320" w:lineRule="exact"/>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（2）满足资格审查</w:t>
            </w:r>
            <w:r>
              <w:rPr>
                <w:rFonts w:hint="eastAsia" w:ascii="宋体" w:hAnsi="宋体" w:cs="宋体"/>
                <w:color w:val="auto"/>
                <w:sz w:val="21"/>
                <w:szCs w:val="21"/>
                <w:highlight w:val="none"/>
                <w:lang w:eastAsia="zh-CN"/>
              </w:rPr>
              <w:t>条件（</w:t>
            </w:r>
            <w:r>
              <w:rPr>
                <w:rFonts w:hint="eastAsia" w:ascii="宋体" w:hAnsi="宋体" w:cs="宋体"/>
                <w:color w:val="auto"/>
                <w:sz w:val="21"/>
                <w:szCs w:val="21"/>
                <w:highlight w:val="none"/>
              </w:rPr>
              <w:t>业绩最低要求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累计</w:t>
            </w:r>
            <w:r>
              <w:rPr>
                <w:rFonts w:hint="eastAsia" w:ascii="宋体" w:hAnsi="宋体" w:cs="宋体"/>
                <w:color w:val="auto"/>
                <w:sz w:val="21"/>
                <w:szCs w:val="21"/>
                <w:highlight w:val="none"/>
                <w:lang w:val="en-US" w:eastAsia="zh-CN"/>
              </w:rPr>
              <w:t>合同金额高</w:t>
            </w:r>
            <w:r>
              <w:rPr>
                <w:rFonts w:hint="eastAsia" w:ascii="宋体" w:hAnsi="宋体" w:cs="宋体"/>
                <w:color w:val="auto"/>
                <w:sz w:val="21"/>
                <w:szCs w:val="21"/>
                <w:highlight w:val="none"/>
              </w:rPr>
              <w:t>的投标人优先；</w:t>
            </w:r>
          </w:p>
          <w:p w14:paraId="7E16EACF">
            <w:pPr>
              <w:snapToGrid w:val="0"/>
              <w:spacing w:line="320" w:lineRule="exact"/>
              <w:ind w:firstLine="210" w:firstLineChars="1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（3）投标文件递交时间在前的优先。</w:t>
            </w:r>
          </w:p>
        </w:tc>
      </w:tr>
      <w:tr w14:paraId="0DDE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noWrap w:val="0"/>
            <w:vAlign w:val="center"/>
          </w:tcPr>
          <w:p w14:paraId="7C8E0A5F">
            <w:pPr>
              <w:adjustRightInd w:val="0"/>
              <w:snapToGrid w:val="0"/>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2.1.1</w:t>
            </w:r>
          </w:p>
          <w:p w14:paraId="6792066E">
            <w:pPr>
              <w:adjustRightInd w:val="0"/>
              <w:snapToGrid w:val="0"/>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2.1.3</w:t>
            </w:r>
          </w:p>
        </w:tc>
        <w:tc>
          <w:tcPr>
            <w:tcW w:w="1317" w:type="dxa"/>
            <w:noWrap w:val="0"/>
            <w:vAlign w:val="center"/>
          </w:tcPr>
          <w:p w14:paraId="078B9DD0">
            <w:pPr>
              <w:adjustRightInd w:val="0"/>
              <w:snapToGrid w:val="0"/>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形式评审与响应性评审标准</w:t>
            </w:r>
          </w:p>
        </w:tc>
        <w:tc>
          <w:tcPr>
            <w:tcW w:w="7197" w:type="dxa"/>
            <w:noWrap w:val="0"/>
            <w:vAlign w:val="center"/>
          </w:tcPr>
          <w:p w14:paraId="7CD51ED3">
            <w:pPr>
              <w:snapToGrid w:val="0"/>
              <w:spacing w:line="320" w:lineRule="exact"/>
              <w:ind w:firstLine="422" w:firstLineChars="200"/>
              <w:rPr>
                <w:rFonts w:hint="eastAsia" w:ascii="宋体" w:hAnsi="宋体" w:cs="宋体"/>
                <w:color w:val="auto"/>
                <w:sz w:val="21"/>
                <w:szCs w:val="21"/>
                <w:highlight w:val="none"/>
              </w:rPr>
            </w:pPr>
            <w:r>
              <w:rPr>
                <w:rFonts w:hint="eastAsia" w:ascii="宋体" w:hAnsi="宋体" w:cs="宋体"/>
                <w:b/>
                <w:bCs/>
                <w:color w:val="auto"/>
                <w:sz w:val="21"/>
                <w:szCs w:val="21"/>
                <w:highlight w:val="none"/>
              </w:rPr>
              <w:t>第一个信封（商务</w:t>
            </w:r>
            <w:r>
              <w:rPr>
                <w:rFonts w:hint="eastAsia" w:ascii="宋体" w:hAnsi="宋体" w:cs="宋体"/>
                <w:b/>
                <w:bCs/>
                <w:color w:val="auto"/>
                <w:sz w:val="21"/>
                <w:szCs w:val="21"/>
                <w:highlight w:val="none"/>
                <w:lang w:val="en-US" w:eastAsia="zh-CN"/>
              </w:rPr>
              <w:t>及技术</w:t>
            </w:r>
            <w:r>
              <w:rPr>
                <w:rFonts w:hint="eastAsia" w:ascii="宋体" w:hAnsi="宋体" w:cs="宋体"/>
                <w:b/>
                <w:bCs/>
                <w:color w:val="auto"/>
                <w:sz w:val="21"/>
                <w:szCs w:val="21"/>
                <w:highlight w:val="none"/>
              </w:rPr>
              <w:t>文件</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评审标准：</w:t>
            </w:r>
          </w:p>
          <w:p w14:paraId="12E4D28A">
            <w:pPr>
              <w:snapToGrid w:val="0"/>
              <w:spacing w:line="3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（1）投标文件按照招标文件规定的格式、内容填写，字迹清晰可辨：</w:t>
            </w:r>
          </w:p>
          <w:p w14:paraId="2B1BB85A">
            <w:pPr>
              <w:snapToGrid w:val="0"/>
              <w:spacing w:line="3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a.投标函按照招标文件规定填报了招标人名称、项目名称、标段号、补遗书编号（如有）、交货期、质量</w:t>
            </w:r>
            <w:r>
              <w:rPr>
                <w:rFonts w:hint="eastAsia" w:ascii="宋体" w:hAnsi="宋体" w:cs="宋体"/>
                <w:color w:val="auto"/>
                <w:sz w:val="21"/>
                <w:szCs w:val="21"/>
                <w:highlight w:val="none"/>
                <w:lang w:eastAsia="zh-CN"/>
              </w:rPr>
              <w:t>标准</w:t>
            </w:r>
            <w:r>
              <w:rPr>
                <w:rFonts w:hint="eastAsia" w:ascii="宋体" w:hAnsi="宋体" w:cs="宋体"/>
                <w:color w:val="auto"/>
                <w:sz w:val="21"/>
                <w:szCs w:val="21"/>
                <w:highlight w:val="none"/>
              </w:rPr>
              <w:t>；</w:t>
            </w:r>
          </w:p>
          <w:p w14:paraId="6B59C671">
            <w:pPr>
              <w:snapToGrid w:val="0"/>
              <w:spacing w:line="3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b.投标文件组成齐全完整，内容均按规定填写；</w:t>
            </w:r>
          </w:p>
          <w:p w14:paraId="493D53BB">
            <w:pPr>
              <w:snapToGrid w:val="0"/>
              <w:spacing w:line="3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（2）投标文件上法定代表人或其委托代理人的签字、投标人的单位章盖章齐全，符合招标文件规定。</w:t>
            </w:r>
          </w:p>
          <w:p w14:paraId="43ED7241">
            <w:pPr>
              <w:snapToGrid w:val="0"/>
              <w:spacing w:line="320" w:lineRule="exact"/>
              <w:ind w:firstLine="420" w:firstLineChars="20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（3）投标人按照招标文件的规定提供了投标保证金，满足投标人须知3.4.1规定。</w:t>
            </w:r>
          </w:p>
          <w:p w14:paraId="3D1797CF">
            <w:pPr>
              <w:snapToGrid w:val="0"/>
              <w:spacing w:line="3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（4）投标人法定代表人授权委托代理人签署投标文件的，须提交授权委托书，授权委托书的签字盖章符合招标文件规定。</w:t>
            </w:r>
          </w:p>
          <w:p w14:paraId="5964BAE6">
            <w:pPr>
              <w:snapToGrid w:val="0"/>
              <w:spacing w:line="3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（5）投标人法定代表人亲自签署投标文件的，提供了法定代表人身份证明,法定代表人身份证明的签字盖章符合招标文件规定。</w:t>
            </w:r>
          </w:p>
          <w:p w14:paraId="7C00518A">
            <w:pPr>
              <w:snapToGrid w:val="0"/>
              <w:spacing w:line="3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（6）投标人未以联合体形式投标。</w:t>
            </w:r>
          </w:p>
          <w:p w14:paraId="1ABECFBD">
            <w:pPr>
              <w:snapToGrid w:val="0"/>
              <w:spacing w:line="320" w:lineRule="exact"/>
              <w:ind w:right="113"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（7）投标人未对本项目进行分包。</w:t>
            </w:r>
          </w:p>
          <w:p w14:paraId="285EEE09">
            <w:pPr>
              <w:snapToGrid w:val="0"/>
              <w:spacing w:line="3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（8）同一投标人同一标段未提交两个以上不同的投标文件。</w:t>
            </w:r>
          </w:p>
          <w:p w14:paraId="33D3ADFC">
            <w:pPr>
              <w:snapToGrid w:val="0"/>
              <w:spacing w:line="3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（9）投标文件中未出现有关投标报价的内容。</w:t>
            </w:r>
          </w:p>
          <w:p w14:paraId="2AF20E93">
            <w:pPr>
              <w:snapToGrid w:val="0"/>
              <w:spacing w:line="3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（10）投标文件载明的招标项目完成期限未超过招标文件规定的时限。</w:t>
            </w:r>
          </w:p>
          <w:p w14:paraId="0532B9BF">
            <w:pPr>
              <w:snapToGrid w:val="0"/>
              <w:spacing w:line="3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w:t>
            </w:r>
            <w:r>
              <w:rPr>
                <w:rFonts w:hint="eastAsia" w:ascii="宋体" w:hAnsi="宋体" w:cs="宋体"/>
                <w:color w:val="auto"/>
                <w:sz w:val="21"/>
                <w:szCs w:val="21"/>
                <w:highlight w:val="none"/>
                <w:lang w:bidi="ar"/>
              </w:rPr>
              <w:t>递交的投标文件与所投标段一致</w:t>
            </w:r>
            <w:r>
              <w:rPr>
                <w:rFonts w:hint="eastAsia" w:ascii="宋体" w:hAnsi="宋体" w:cs="宋体"/>
                <w:color w:val="auto"/>
                <w:sz w:val="21"/>
                <w:szCs w:val="21"/>
                <w:highlight w:val="none"/>
              </w:rPr>
              <w:t>。</w:t>
            </w:r>
          </w:p>
          <w:p w14:paraId="085A1BBE">
            <w:pPr>
              <w:snapToGrid w:val="0"/>
              <w:spacing w:line="3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）投标文件对招标文件的实质性要求和条件作出响应</w:t>
            </w:r>
            <w:r>
              <w:rPr>
                <w:rFonts w:hint="eastAsia" w:ascii="宋体" w:hAnsi="宋体" w:cs="宋体"/>
                <w:color w:val="auto"/>
                <w:sz w:val="21"/>
                <w:szCs w:val="21"/>
                <w:highlight w:val="none"/>
                <w:lang w:eastAsia="zh-CN"/>
              </w:rPr>
              <w:t>。</w:t>
            </w:r>
          </w:p>
          <w:p w14:paraId="2B320804">
            <w:pPr>
              <w:snapToGrid w:val="0"/>
              <w:spacing w:line="3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）权利义务符合招标文件规定：</w:t>
            </w:r>
          </w:p>
          <w:p w14:paraId="308C23D6">
            <w:pPr>
              <w:snapToGrid w:val="0"/>
              <w:spacing w:line="3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a．投标人应接受招标文件规定的风险划分原则，未提出新的风险划分办法；</w:t>
            </w:r>
          </w:p>
          <w:p w14:paraId="3B74F8D4">
            <w:pPr>
              <w:snapToGrid w:val="0"/>
              <w:spacing w:line="3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b．投标人未增加发包人的责任范围，或减少投标人义务；</w:t>
            </w:r>
          </w:p>
          <w:p w14:paraId="66615B19">
            <w:pPr>
              <w:snapToGrid w:val="0"/>
              <w:spacing w:line="3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c．投标人未提出不同的工程验收、计量、支付办法；</w:t>
            </w:r>
          </w:p>
          <w:p w14:paraId="4AC0D1A8">
            <w:pPr>
              <w:snapToGrid w:val="0"/>
              <w:spacing w:line="3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d．投标人对合同纠纷、事故处理办法未提出异议；</w:t>
            </w:r>
          </w:p>
          <w:p w14:paraId="65C6BF52">
            <w:pPr>
              <w:snapToGrid w:val="0"/>
              <w:spacing w:line="3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e．投标人在投标活动中无欺诈行为；</w:t>
            </w:r>
          </w:p>
          <w:p w14:paraId="64B06D62">
            <w:pPr>
              <w:snapToGrid w:val="0"/>
              <w:spacing w:line="3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f．投标人未对合同条款有重要保留</w:t>
            </w:r>
          </w:p>
          <w:p w14:paraId="3B977E3F">
            <w:pPr>
              <w:snapToGrid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w:t>
            </w:r>
            <w:r>
              <w:rPr>
                <w:rFonts w:hint="eastAsia" w:ascii="宋体" w:hAnsi="宋体" w:eastAsia="宋体" w:cs="宋体"/>
                <w:szCs w:val="21"/>
                <w:highlight w:val="none"/>
              </w:rPr>
              <w:t>投标文件中投标设备的主要技术性能指标满足招标文件的要求，</w:t>
            </w:r>
            <w:r>
              <w:rPr>
                <w:rFonts w:hint="eastAsia" w:ascii="宋体" w:hAnsi="宋体" w:eastAsia="宋体" w:cs="宋体"/>
                <w:highlight w:val="none"/>
                <w:lang w:val="en-US" w:eastAsia="zh-CN"/>
              </w:rPr>
              <w:t>提供了承诺函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承诺函</w:t>
            </w:r>
            <w:r>
              <w:rPr>
                <w:rFonts w:hint="eastAsia" w:ascii="宋体" w:hAnsi="宋体" w:eastAsia="宋体" w:cs="宋体"/>
                <w:color w:val="auto"/>
                <w:sz w:val="21"/>
                <w:szCs w:val="21"/>
                <w:highlight w:val="none"/>
              </w:rPr>
              <w:t>签字盖章符合招标文件规定。</w:t>
            </w:r>
          </w:p>
          <w:p w14:paraId="6E04336B">
            <w:pPr>
              <w:snapToGrid w:val="0"/>
              <w:spacing w:line="3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szCs w:val="21"/>
                <w:highlight w:val="none"/>
              </w:rPr>
              <w:t>（15）</w:t>
            </w:r>
            <w:r>
              <w:rPr>
                <w:rFonts w:hint="eastAsia" w:ascii="宋体" w:hAnsi="宋体" w:eastAsia="宋体" w:cs="宋体"/>
                <w:color w:val="auto"/>
                <w:sz w:val="21"/>
                <w:szCs w:val="21"/>
                <w:highlight w:val="none"/>
              </w:rPr>
              <w:t>供货能力及进度保障</w:t>
            </w:r>
            <w:r>
              <w:rPr>
                <w:rFonts w:hint="eastAsia" w:ascii="宋体" w:hAnsi="宋体" w:eastAsia="宋体" w:cs="宋体"/>
                <w:color w:val="auto"/>
                <w:sz w:val="21"/>
                <w:szCs w:val="21"/>
                <w:highlight w:val="none"/>
                <w:lang w:eastAsia="zh-CN"/>
              </w:rPr>
              <w:t>（</w:t>
            </w:r>
            <w:r>
              <w:rPr>
                <w:rFonts w:hint="eastAsia" w:ascii="宋体" w:hAnsi="宋体" w:eastAsia="宋体" w:cs="宋体"/>
                <w:szCs w:val="21"/>
                <w:highlight w:val="none"/>
              </w:rPr>
              <w:t>暗标</w:t>
            </w:r>
            <w:r>
              <w:rPr>
                <w:rFonts w:hint="eastAsia" w:ascii="宋体" w:hAnsi="宋体" w:eastAsia="宋体" w:cs="宋体"/>
                <w:szCs w:val="21"/>
                <w:highlight w:val="none"/>
                <w:lang w:eastAsia="zh-CN"/>
              </w:rPr>
              <w:t>）、</w:t>
            </w:r>
            <w:r>
              <w:rPr>
                <w:rFonts w:hint="eastAsia" w:ascii="宋体" w:hAnsi="宋体" w:eastAsia="宋体" w:cs="宋体"/>
                <w:color w:val="auto"/>
                <w:sz w:val="21"/>
                <w:szCs w:val="21"/>
                <w:highlight w:val="none"/>
              </w:rPr>
              <w:t>技术服务</w:t>
            </w:r>
            <w:r>
              <w:rPr>
                <w:rFonts w:hint="eastAsia" w:ascii="宋体" w:hAnsi="宋体" w:eastAsia="宋体" w:cs="宋体"/>
                <w:color w:val="auto"/>
                <w:sz w:val="21"/>
                <w:szCs w:val="21"/>
                <w:highlight w:val="none"/>
                <w:lang w:val="en-US"/>
              </w:rPr>
              <w:t>及质保期</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暗标</w:t>
            </w:r>
            <w:r>
              <w:rPr>
                <w:rFonts w:hint="eastAsia" w:ascii="宋体" w:hAnsi="宋体" w:eastAsia="宋体" w:cs="宋体"/>
                <w:color w:val="auto"/>
                <w:sz w:val="21"/>
                <w:szCs w:val="21"/>
                <w:highlight w:val="none"/>
                <w:lang w:eastAsia="zh-CN"/>
              </w:rPr>
              <w:t>）</w:t>
            </w:r>
            <w:r>
              <w:rPr>
                <w:rFonts w:hint="eastAsia" w:ascii="宋体" w:hAnsi="宋体" w:eastAsia="宋体" w:cs="宋体"/>
                <w:highlight w:val="none"/>
              </w:rPr>
              <w:t>符合招标文件第二章“投标人须知前附表”第</w:t>
            </w:r>
            <w:r>
              <w:rPr>
                <w:rFonts w:hint="eastAsia" w:ascii="宋体" w:hAnsi="宋体" w:eastAsia="宋体" w:cs="宋体"/>
                <w:highlight w:val="none"/>
                <w:lang w:val="en-US" w:eastAsia="zh-CN"/>
              </w:rPr>
              <w:t>10</w:t>
            </w: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款的规定。</w:t>
            </w:r>
          </w:p>
          <w:p w14:paraId="307686E5">
            <w:pPr>
              <w:snapToGrid w:val="0"/>
              <w:spacing w:line="320" w:lineRule="exact"/>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第二个信封（报价文件）评审标准：</w:t>
            </w:r>
          </w:p>
          <w:p w14:paraId="0954E26F">
            <w:pPr>
              <w:snapToGrid w:val="0"/>
              <w:spacing w:line="3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（1）投标文件按照招标文件规定的格式、内容填写，字迹清晰可辨：</w:t>
            </w:r>
          </w:p>
          <w:p w14:paraId="2F009463">
            <w:pPr>
              <w:snapToGrid w:val="0"/>
              <w:spacing w:line="3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a.投标函按照招标文件规定填报了招标人名称、项目名称、标段号、补遗书编号（如有）、投标报价（包括大写金额和小写金额）</w:t>
            </w:r>
            <w:r>
              <w:rPr>
                <w:rFonts w:hint="eastAsia" w:ascii="宋体" w:hAnsi="宋体" w:cs="宋体"/>
                <w:color w:val="auto"/>
                <w:sz w:val="21"/>
                <w:szCs w:val="21"/>
                <w:highlight w:val="none"/>
                <w:lang w:eastAsia="zh-CN"/>
              </w:rPr>
              <w:t>、增值税税率</w:t>
            </w:r>
            <w:r>
              <w:rPr>
                <w:rFonts w:hint="eastAsia" w:ascii="宋体" w:hAnsi="宋体" w:cs="宋体"/>
                <w:color w:val="auto"/>
                <w:sz w:val="21"/>
                <w:szCs w:val="21"/>
                <w:highlight w:val="none"/>
              </w:rPr>
              <w:t>；</w:t>
            </w:r>
          </w:p>
          <w:p w14:paraId="79D14720">
            <w:pPr>
              <w:snapToGrid w:val="0"/>
              <w:spacing w:line="3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b</w:t>
            </w:r>
            <w:r>
              <w:rPr>
                <w:rFonts w:hint="eastAsia" w:ascii="宋体" w:hAnsi="宋体" w:cs="宋体"/>
                <w:color w:val="auto"/>
                <w:sz w:val="21"/>
                <w:szCs w:val="21"/>
                <w:highlight w:val="none"/>
              </w:rPr>
              <w:t>.投标文件组成齐全完整，内容均按规定填写。</w:t>
            </w:r>
          </w:p>
          <w:p w14:paraId="00D18642">
            <w:pPr>
              <w:snapToGrid w:val="0"/>
              <w:spacing w:line="3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（2）投标文件上法定代表人或委托代理人的签字、投标人的单位章盖章齐全，符合招标文件规定。</w:t>
            </w:r>
          </w:p>
          <w:p w14:paraId="753AB774">
            <w:pPr>
              <w:snapToGrid w:val="0"/>
              <w:spacing w:line="3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（3）投标</w:t>
            </w:r>
            <w:r>
              <w:rPr>
                <w:rFonts w:hint="eastAsia" w:ascii="宋体" w:hAnsi="宋体" w:cs="宋体"/>
                <w:color w:val="auto"/>
                <w:sz w:val="21"/>
                <w:szCs w:val="21"/>
                <w:highlight w:val="none"/>
                <w:lang w:val="en-US" w:eastAsia="zh-CN"/>
              </w:rPr>
              <w:t>报价</w:t>
            </w:r>
            <w:r>
              <w:rPr>
                <w:rFonts w:hint="eastAsia" w:ascii="宋体" w:hAnsi="宋体" w:cs="宋体"/>
                <w:color w:val="auto"/>
                <w:sz w:val="21"/>
                <w:szCs w:val="21"/>
                <w:highlight w:val="none"/>
              </w:rPr>
              <w:t>未超过招标文件设定的最高</w:t>
            </w:r>
            <w:r>
              <w:rPr>
                <w:rFonts w:hint="eastAsia" w:ascii="宋体" w:hAnsi="宋体" w:cs="宋体"/>
                <w:color w:val="auto"/>
                <w:sz w:val="21"/>
                <w:szCs w:val="21"/>
                <w:highlight w:val="none"/>
                <w:lang w:val="en-US" w:eastAsia="zh-CN"/>
              </w:rPr>
              <w:t>投标</w:t>
            </w:r>
            <w:r>
              <w:rPr>
                <w:rFonts w:hint="eastAsia" w:ascii="宋体" w:hAnsi="宋体" w:cs="宋体"/>
                <w:color w:val="auto"/>
                <w:sz w:val="21"/>
                <w:szCs w:val="21"/>
                <w:highlight w:val="none"/>
              </w:rPr>
              <w:t>限价。</w:t>
            </w:r>
          </w:p>
          <w:p w14:paraId="3C26ACB7">
            <w:pPr>
              <w:snapToGrid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（4）投标报价的大写金额能够确定具体数值。</w:t>
            </w:r>
          </w:p>
          <w:p w14:paraId="56F98DDF">
            <w:pPr>
              <w:snapToGrid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（5）同一投标人同一标段未提交两个以上不同的投标报价。</w:t>
            </w:r>
          </w:p>
          <w:p w14:paraId="6CCA0AF2">
            <w:pPr>
              <w:snapToGrid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（6）分项报价表中投标报价与投标函大写金额一致。</w:t>
            </w:r>
          </w:p>
          <w:p w14:paraId="5B352DA8">
            <w:pPr>
              <w:snapToGrid w:val="0"/>
              <w:spacing w:line="320" w:lineRule="exact"/>
              <w:ind w:firstLine="420" w:firstLineChars="200"/>
              <w:rPr>
                <w:rFonts w:hint="eastAsia"/>
                <w:color w:val="auto"/>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）递交的投标文件与所投标段一致。</w:t>
            </w:r>
          </w:p>
        </w:tc>
      </w:tr>
      <w:tr w14:paraId="1EB5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86" w:hRule="atLeast"/>
          <w:jc w:val="center"/>
        </w:trPr>
        <w:tc>
          <w:tcPr>
            <w:tcW w:w="1143" w:type="dxa"/>
            <w:noWrap w:val="0"/>
            <w:vAlign w:val="center"/>
          </w:tcPr>
          <w:p w14:paraId="1471C466">
            <w:pPr>
              <w:adjustRightInd w:val="0"/>
              <w:snapToGrid w:val="0"/>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2.1.2</w:t>
            </w:r>
          </w:p>
        </w:tc>
        <w:tc>
          <w:tcPr>
            <w:tcW w:w="1317" w:type="dxa"/>
            <w:noWrap w:val="0"/>
            <w:vAlign w:val="center"/>
          </w:tcPr>
          <w:p w14:paraId="4481C996">
            <w:pPr>
              <w:adjustRightInd w:val="0"/>
              <w:snapToGrid w:val="0"/>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资格评审标准</w:t>
            </w:r>
          </w:p>
        </w:tc>
        <w:tc>
          <w:tcPr>
            <w:tcW w:w="7197" w:type="dxa"/>
            <w:noWrap w:val="0"/>
            <w:vAlign w:val="center"/>
          </w:tcPr>
          <w:p w14:paraId="4366F861">
            <w:pPr>
              <w:snapToGrid w:val="0"/>
              <w:spacing w:line="3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（1）投标人具备有效的企业营业执照、组织机构代码证（三证合一或五证合一的除外）和基本账户开户许可证（或基本存款账户信息）；</w:t>
            </w:r>
          </w:p>
          <w:p w14:paraId="0F759804">
            <w:pPr>
              <w:snapToGrid w:val="0"/>
              <w:spacing w:line="3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（2）投标人的资质符合招标文件规定；</w:t>
            </w:r>
          </w:p>
          <w:p w14:paraId="3B076155">
            <w:pPr>
              <w:snapToGrid w:val="0"/>
              <w:spacing w:line="3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szCs w:val="21"/>
                <w:highlight w:val="none"/>
              </w:rPr>
              <w:t>投标人的财务状况符合招标文件规定</w:t>
            </w:r>
          </w:p>
          <w:p w14:paraId="5458A6F6">
            <w:pPr>
              <w:snapToGrid w:val="0"/>
              <w:spacing w:line="3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）投标人的业绩符合招标文件规定；</w:t>
            </w:r>
          </w:p>
          <w:p w14:paraId="34C729FC">
            <w:pPr>
              <w:snapToGrid w:val="0"/>
              <w:spacing w:line="3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）投标人的信誉符合招标文件规定；</w:t>
            </w:r>
          </w:p>
          <w:p w14:paraId="0E0C4CE2">
            <w:pPr>
              <w:snapToGrid w:val="0"/>
              <w:spacing w:line="3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）投标人不存在第二章“投标人须知”第1.4.3项规定的任何一种情形。</w:t>
            </w:r>
          </w:p>
        </w:tc>
      </w:tr>
      <w:tr w14:paraId="6DB6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noWrap w:val="0"/>
            <w:vAlign w:val="center"/>
          </w:tcPr>
          <w:p w14:paraId="5578D167">
            <w:pPr>
              <w:adjustRightInd w:val="0"/>
              <w:snapToGrid w:val="0"/>
              <w:spacing w:line="32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w:t>
            </w:r>
          </w:p>
        </w:tc>
        <w:tc>
          <w:tcPr>
            <w:tcW w:w="1317" w:type="dxa"/>
            <w:noWrap w:val="0"/>
            <w:vAlign w:val="center"/>
          </w:tcPr>
          <w:p w14:paraId="2CBF37A0">
            <w:pPr>
              <w:adjustRightInd w:val="0"/>
              <w:snapToGrid w:val="0"/>
              <w:spacing w:line="32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条款内容</w:t>
            </w:r>
          </w:p>
        </w:tc>
        <w:tc>
          <w:tcPr>
            <w:tcW w:w="7197" w:type="dxa"/>
            <w:noWrap w:val="0"/>
            <w:vAlign w:val="center"/>
          </w:tcPr>
          <w:p w14:paraId="1717865F">
            <w:pPr>
              <w:adjustRightInd w:val="0"/>
              <w:snapToGrid w:val="0"/>
              <w:spacing w:line="32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编列内容</w:t>
            </w:r>
          </w:p>
        </w:tc>
      </w:tr>
      <w:tr w14:paraId="02BD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noWrap w:val="0"/>
            <w:vAlign w:val="center"/>
          </w:tcPr>
          <w:p w14:paraId="071E1C92">
            <w:pPr>
              <w:adjustRightInd w:val="0"/>
              <w:snapToGrid w:val="0"/>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2.2.1</w:t>
            </w:r>
          </w:p>
        </w:tc>
        <w:tc>
          <w:tcPr>
            <w:tcW w:w="1317" w:type="dxa"/>
            <w:noWrap w:val="0"/>
            <w:vAlign w:val="center"/>
          </w:tcPr>
          <w:p w14:paraId="3237DBA0">
            <w:pPr>
              <w:adjustRightInd w:val="0"/>
              <w:snapToGrid w:val="0"/>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分值构成</w:t>
            </w:r>
          </w:p>
          <w:p w14:paraId="75FC2789">
            <w:pPr>
              <w:adjustRightInd w:val="0"/>
              <w:snapToGrid w:val="0"/>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（总分100分）</w:t>
            </w:r>
          </w:p>
        </w:tc>
        <w:tc>
          <w:tcPr>
            <w:tcW w:w="7197" w:type="dxa"/>
            <w:noWrap w:val="0"/>
            <w:vAlign w:val="center"/>
          </w:tcPr>
          <w:p w14:paraId="7C3C7A54">
            <w:pPr>
              <w:adjustRightInd w:val="0"/>
              <w:snapToGrid w:val="0"/>
              <w:spacing w:line="3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商务部分：0分</w:t>
            </w:r>
          </w:p>
          <w:p w14:paraId="29A8616D">
            <w:pPr>
              <w:adjustRightInd w:val="0"/>
              <w:snapToGrid w:val="0"/>
              <w:spacing w:line="3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技术部分：</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0分</w:t>
            </w:r>
          </w:p>
          <w:p w14:paraId="47D2FC8D">
            <w:pPr>
              <w:adjustRightInd w:val="0"/>
              <w:snapToGrid w:val="0"/>
              <w:spacing w:line="3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其他评分因素：</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分</w:t>
            </w:r>
          </w:p>
        </w:tc>
      </w:tr>
      <w:tr w14:paraId="6F72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14:paraId="73E53A0D">
            <w:pPr>
              <w:adjustRightInd w:val="0"/>
              <w:snapToGrid w:val="0"/>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2.2.3</w:t>
            </w:r>
          </w:p>
        </w:tc>
        <w:tc>
          <w:tcPr>
            <w:tcW w:w="1317" w:type="dxa"/>
            <w:noWrap w:val="0"/>
            <w:vAlign w:val="center"/>
          </w:tcPr>
          <w:p w14:paraId="4A295463">
            <w:pPr>
              <w:adjustRightInd w:val="0"/>
              <w:snapToGrid w:val="0"/>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第二个信封详细评审标准</w:t>
            </w:r>
          </w:p>
        </w:tc>
        <w:tc>
          <w:tcPr>
            <w:tcW w:w="7197" w:type="dxa"/>
            <w:noWrap w:val="0"/>
            <w:vAlign w:val="center"/>
          </w:tcPr>
          <w:p w14:paraId="4E2BFE7B">
            <w:pPr>
              <w:adjustRightInd w:val="0"/>
              <w:snapToGrid w:val="0"/>
              <w:spacing w:line="3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评标价计算公式：</w:t>
            </w:r>
          </w:p>
          <w:p w14:paraId="6D64A277">
            <w:pPr>
              <w:adjustRightInd w:val="0"/>
              <w:snapToGrid w:val="0"/>
              <w:spacing w:line="3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评标价=</w:t>
            </w:r>
            <w:r>
              <w:rPr>
                <w:rFonts w:hint="eastAsia" w:ascii="宋体" w:hAnsi="宋体" w:cs="宋体"/>
                <w:color w:val="auto"/>
                <w:sz w:val="21"/>
                <w:szCs w:val="21"/>
                <w:highlight w:val="none"/>
                <w:lang w:val="en-US" w:eastAsia="zh-CN"/>
              </w:rPr>
              <w:t>修正后的投标</w:t>
            </w:r>
            <w:r>
              <w:rPr>
                <w:rFonts w:hint="eastAsia" w:ascii="宋体" w:hAnsi="宋体" w:cs="宋体"/>
                <w:color w:val="auto"/>
                <w:sz w:val="21"/>
                <w:szCs w:val="21"/>
                <w:highlight w:val="none"/>
              </w:rPr>
              <w:t>报价。</w:t>
            </w:r>
          </w:p>
        </w:tc>
      </w:tr>
      <w:tr w14:paraId="406C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14:paraId="7454B7D8">
            <w:pPr>
              <w:adjustRightInd w:val="0"/>
              <w:snapToGrid w:val="0"/>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3.2.4</w:t>
            </w:r>
          </w:p>
        </w:tc>
        <w:tc>
          <w:tcPr>
            <w:tcW w:w="1317" w:type="dxa"/>
            <w:noWrap w:val="0"/>
            <w:vAlign w:val="center"/>
          </w:tcPr>
          <w:p w14:paraId="1AC417C1">
            <w:pPr>
              <w:adjustRightInd w:val="0"/>
              <w:snapToGrid w:val="0"/>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通过第一个信封详细评审的投标人数量</w:t>
            </w:r>
          </w:p>
        </w:tc>
        <w:tc>
          <w:tcPr>
            <w:tcW w:w="7197" w:type="dxa"/>
            <w:noWrap w:val="0"/>
            <w:vAlign w:val="center"/>
          </w:tcPr>
          <w:p w14:paraId="1A0AC4DD">
            <w:pPr>
              <w:adjustRightInd w:val="0"/>
              <w:snapToGrid w:val="0"/>
              <w:spacing w:line="3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按照投标人的技术得分由高到低排序，选择前3名通过详细评审</w:t>
            </w:r>
          </w:p>
        </w:tc>
      </w:tr>
      <w:tr w14:paraId="1610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14:paraId="5FD0FAA9">
            <w:pPr>
              <w:adjustRightInd w:val="0"/>
              <w:snapToGrid w:val="0"/>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3.6.1</w:t>
            </w:r>
          </w:p>
        </w:tc>
        <w:tc>
          <w:tcPr>
            <w:tcW w:w="1317" w:type="dxa"/>
            <w:noWrap w:val="0"/>
            <w:vAlign w:val="center"/>
          </w:tcPr>
          <w:p w14:paraId="426859E2">
            <w:pPr>
              <w:adjustRightInd w:val="0"/>
              <w:snapToGrid w:val="0"/>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信息查询</w:t>
            </w:r>
          </w:p>
        </w:tc>
        <w:tc>
          <w:tcPr>
            <w:tcW w:w="7197" w:type="dxa"/>
            <w:noWrap w:val="0"/>
            <w:vAlign w:val="center"/>
          </w:tcPr>
          <w:p w14:paraId="45E2D522">
            <w:pPr>
              <w:widowControl w:val="0"/>
              <w:adjustRightInd w:val="0"/>
              <w:snapToGrid w:val="0"/>
              <w:spacing w:line="3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修改为：</w:t>
            </w:r>
          </w:p>
          <w:p w14:paraId="05F5D92E">
            <w:pPr>
              <w:snapToGrid w:val="0"/>
              <w:spacing w:line="3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在评标过程中，评标委员会应对以下信息进行查询：</w:t>
            </w:r>
          </w:p>
          <w:p w14:paraId="6F6BBB72">
            <w:pPr>
              <w:snapToGrid w:val="0"/>
              <w:spacing w:line="320" w:lineRule="exact"/>
              <w:ind w:firstLine="327" w:firstLineChars="156"/>
              <w:rPr>
                <w:rFonts w:hint="eastAsia" w:ascii="宋体" w:hAnsi="宋体" w:cs="宋体"/>
                <w:color w:val="auto"/>
                <w:sz w:val="21"/>
                <w:szCs w:val="21"/>
                <w:highlight w:val="none"/>
              </w:rPr>
            </w:pPr>
            <w:r>
              <w:rPr>
                <w:rFonts w:hint="eastAsia" w:ascii="宋体" w:hAnsi="宋体" w:cs="宋体"/>
                <w:color w:val="auto"/>
                <w:sz w:val="21"/>
                <w:szCs w:val="21"/>
                <w:highlight w:val="none"/>
              </w:rPr>
              <w:t>（1）投标人信用情况网页截图内容与在“国家企业信用信息公示系统”中严重违法失信名单（黑名单）信息（不含分公司）或在“信用中国”网站“中失信被执行人、</w:t>
            </w:r>
            <w:r>
              <w:rPr>
                <w:rFonts w:hint="eastAsia" w:ascii="宋体" w:hAnsi="宋体" w:cs="宋体"/>
                <w:color w:val="auto"/>
                <w:sz w:val="21"/>
                <w:szCs w:val="21"/>
                <w:highlight w:val="none"/>
                <w:lang w:eastAsia="zh-CN"/>
              </w:rPr>
              <w:t>经营(活动)异常名录</w:t>
            </w:r>
            <w:r>
              <w:rPr>
                <w:rFonts w:hint="eastAsia" w:ascii="宋体" w:hAnsi="宋体" w:cs="宋体"/>
                <w:color w:val="auto"/>
                <w:sz w:val="21"/>
                <w:szCs w:val="21"/>
                <w:highlight w:val="none"/>
              </w:rPr>
              <w:t>、重大税收违法失信主体、政府采购严重违法失信行为记录名单、安全生产严重失信主体名单（均不含分公司）的复核结果一致。</w:t>
            </w:r>
          </w:p>
          <w:p w14:paraId="166ED164">
            <w:pPr>
              <w:snapToGrid w:val="0"/>
              <w:spacing w:line="320" w:lineRule="exact"/>
              <w:ind w:firstLine="327" w:firstLineChars="156"/>
              <w:rPr>
                <w:rFonts w:hint="eastAsia" w:ascii="宋体" w:hAnsi="宋体" w:cs="宋体"/>
                <w:color w:val="auto"/>
                <w:sz w:val="21"/>
                <w:szCs w:val="21"/>
                <w:highlight w:val="none"/>
              </w:rPr>
            </w:pPr>
            <w:r>
              <w:rPr>
                <w:rFonts w:hint="eastAsia" w:ascii="宋体" w:hAnsi="宋体" w:cs="宋体"/>
                <w:color w:val="auto"/>
                <w:sz w:val="21"/>
                <w:szCs w:val="21"/>
                <w:highlight w:val="none"/>
              </w:rPr>
              <w:t>如投标人未提供相关网页截图或所附截图与复核结果不一致导致不能满足资格评审要求的，评标委员会应否决其投标。</w:t>
            </w:r>
          </w:p>
          <w:p w14:paraId="2DF44BFB">
            <w:pPr>
              <w:autoSpaceDE w:val="0"/>
              <w:autoSpaceDN w:val="0"/>
              <w:snapToGrid w:val="0"/>
              <w:spacing w:line="3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评标委员会在评标时按照投标人提供的验证方式对电子保函或电子保证保险进行验证。如投标人未提供电子保函或电子保证保险的验证方式，或根据提供的验证方式无法核实或经核实与投标文件所附资料不一致的，评标委员会应否决其投标。</w:t>
            </w:r>
          </w:p>
          <w:p w14:paraId="299900BF">
            <w:pPr>
              <w:widowControl w:val="0"/>
              <w:snapToGrid w:val="0"/>
              <w:spacing w:line="3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投标人应保证本款所附的全部截图的真实性。</w:t>
            </w:r>
            <w:r>
              <w:rPr>
                <w:rFonts w:hint="eastAsia" w:ascii="宋体" w:hAnsi="宋体" w:cs="宋体"/>
                <w:color w:val="auto"/>
                <w:sz w:val="21"/>
                <w:szCs w:val="21"/>
                <w:highlight w:val="none"/>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bl>
    <w:p w14:paraId="065B4B06">
      <w:pPr>
        <w:wordWrap w:val="0"/>
        <w:autoSpaceDE w:val="0"/>
        <w:autoSpaceDN w:val="0"/>
        <w:adjustRightInd w:val="0"/>
        <w:ind w:right="-20"/>
        <w:jc w:val="left"/>
        <w:rPr>
          <w:spacing w:val="2"/>
          <w:kern w:val="0"/>
          <w:sz w:val="24"/>
          <w:szCs w:val="24"/>
          <w:highlight w:val="none"/>
        </w:rPr>
      </w:pPr>
    </w:p>
    <w:p w14:paraId="0FBB719E">
      <w:pPr>
        <w:wordWrap w:val="0"/>
        <w:autoSpaceDE w:val="0"/>
        <w:autoSpaceDN w:val="0"/>
        <w:adjustRightInd w:val="0"/>
        <w:ind w:right="-20"/>
        <w:jc w:val="left"/>
        <w:rPr>
          <w:spacing w:val="2"/>
          <w:kern w:val="0"/>
          <w:sz w:val="24"/>
          <w:szCs w:val="24"/>
          <w:highlight w:val="none"/>
        </w:rPr>
      </w:pPr>
    </w:p>
    <w:p w14:paraId="6B61C842">
      <w:pPr>
        <w:rPr>
          <w:rFonts w:hint="eastAsia" w:ascii="宋体" w:hAnsi="宋体" w:cs="宋体"/>
          <w:color w:val="auto"/>
          <w:spacing w:val="2"/>
          <w:sz w:val="24"/>
          <w:szCs w:val="24"/>
          <w:highlight w:val="none"/>
        </w:rPr>
      </w:pPr>
      <w:r>
        <w:rPr>
          <w:spacing w:val="2"/>
          <w:kern w:val="0"/>
          <w:sz w:val="24"/>
          <w:szCs w:val="24"/>
          <w:highlight w:val="none"/>
        </w:rPr>
        <w:br w:type="page"/>
      </w:r>
      <w:r>
        <w:rPr>
          <w:rFonts w:hint="eastAsia" w:ascii="宋体" w:hAnsi="宋体" w:cs="宋体"/>
          <w:color w:val="auto"/>
          <w:sz w:val="24"/>
          <w:szCs w:val="24"/>
          <w:highlight w:val="none"/>
          <w:lang w:bidi="ar"/>
        </w:rPr>
        <w:t>具体</w:t>
      </w:r>
      <w:r>
        <w:rPr>
          <w:rFonts w:hint="eastAsia" w:ascii="宋体" w:hAnsi="宋体" w:cs="宋体"/>
          <w:color w:val="auto"/>
          <w:sz w:val="21"/>
          <w:szCs w:val="21"/>
          <w:highlight w:val="none"/>
          <w:lang w:bidi="ar"/>
        </w:rPr>
        <w:t xml:space="preserve">评分标准如下： </w:t>
      </w:r>
    </w:p>
    <w:tbl>
      <w:tblPr>
        <w:tblStyle w:val="3"/>
        <w:tblW w:w="97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709"/>
        <w:gridCol w:w="1038"/>
        <w:gridCol w:w="1233"/>
        <w:gridCol w:w="989"/>
        <w:gridCol w:w="4925"/>
      </w:tblGrid>
      <w:tr w14:paraId="77F14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 w:hRule="atLeast"/>
          <w:jc w:val="center"/>
        </w:trPr>
        <w:tc>
          <w:tcPr>
            <w:tcW w:w="4785" w:type="dxa"/>
            <w:gridSpan w:val="5"/>
            <w:shd w:val="clear" w:color="000000" w:fill="FFFFFF"/>
            <w:noWrap w:val="0"/>
            <w:vAlign w:val="center"/>
          </w:tcPr>
          <w:p w14:paraId="14155DE1">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评分因素与权重分值</w:t>
            </w:r>
          </w:p>
        </w:tc>
        <w:tc>
          <w:tcPr>
            <w:tcW w:w="4925" w:type="dxa"/>
            <w:vMerge w:val="restart"/>
            <w:shd w:val="clear" w:color="000000" w:fill="FFFFFF"/>
            <w:noWrap w:val="0"/>
            <w:vAlign w:val="center"/>
          </w:tcPr>
          <w:p w14:paraId="4F881CD2">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评分标准</w:t>
            </w:r>
          </w:p>
        </w:tc>
      </w:tr>
      <w:tr w14:paraId="26EB4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816" w:type="dxa"/>
            <w:shd w:val="clear" w:color="000000" w:fill="FFFFFF"/>
            <w:noWrap w:val="0"/>
            <w:vAlign w:val="center"/>
          </w:tcPr>
          <w:p w14:paraId="3EFD6B34">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条款号</w:t>
            </w:r>
          </w:p>
        </w:tc>
        <w:tc>
          <w:tcPr>
            <w:tcW w:w="709" w:type="dxa"/>
            <w:shd w:val="clear" w:color="000000" w:fill="FFFFFF"/>
            <w:noWrap w:val="0"/>
            <w:vAlign w:val="center"/>
          </w:tcPr>
          <w:p w14:paraId="01804AE8">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评分因素</w:t>
            </w:r>
          </w:p>
        </w:tc>
        <w:tc>
          <w:tcPr>
            <w:tcW w:w="1038" w:type="dxa"/>
            <w:shd w:val="clear" w:color="000000" w:fill="FFFFFF"/>
            <w:noWrap w:val="0"/>
            <w:vAlign w:val="center"/>
          </w:tcPr>
          <w:p w14:paraId="716D45E3">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评分因素权重分值</w:t>
            </w:r>
          </w:p>
        </w:tc>
        <w:tc>
          <w:tcPr>
            <w:tcW w:w="1233" w:type="dxa"/>
            <w:shd w:val="clear" w:color="000000" w:fill="FFFFFF"/>
            <w:noWrap w:val="0"/>
            <w:vAlign w:val="center"/>
          </w:tcPr>
          <w:p w14:paraId="2D1BAAC3">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各评分因素</w:t>
            </w:r>
          </w:p>
          <w:p w14:paraId="1AE113F3">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细分项</w:t>
            </w:r>
          </w:p>
        </w:tc>
        <w:tc>
          <w:tcPr>
            <w:tcW w:w="989" w:type="dxa"/>
            <w:shd w:val="clear" w:color="000000" w:fill="FFFFFF"/>
            <w:noWrap w:val="0"/>
            <w:vAlign w:val="center"/>
          </w:tcPr>
          <w:p w14:paraId="324E325F">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分值</w:t>
            </w:r>
          </w:p>
        </w:tc>
        <w:tc>
          <w:tcPr>
            <w:tcW w:w="4925" w:type="dxa"/>
            <w:vMerge w:val="continue"/>
            <w:shd w:val="clear" w:color="000000" w:fill="FFFFFF"/>
            <w:noWrap w:val="0"/>
            <w:vAlign w:val="top"/>
          </w:tcPr>
          <w:p w14:paraId="62B8AE56">
            <w:pPr>
              <w:keepNext w:val="0"/>
              <w:keepLines w:val="0"/>
              <w:pageBreakBefore w:val="0"/>
              <w:kinsoku/>
              <w:wordWrap/>
              <w:overflowPunct/>
              <w:topLinePunct w:val="0"/>
              <w:autoSpaceDE w:val="0"/>
              <w:autoSpaceDN w:val="0"/>
              <w:bidi w:val="0"/>
              <w:adjustRightInd w:val="0"/>
              <w:snapToGrid w:val="0"/>
              <w:spacing w:line="320" w:lineRule="exact"/>
              <w:textAlignment w:val="auto"/>
              <w:rPr>
                <w:rFonts w:hint="eastAsia" w:ascii="宋体" w:hAnsi="宋体" w:cs="宋体"/>
                <w:color w:val="auto"/>
                <w:sz w:val="21"/>
                <w:szCs w:val="21"/>
                <w:highlight w:val="none"/>
                <w:lang w:val="zh-CN"/>
              </w:rPr>
            </w:pPr>
          </w:p>
        </w:tc>
      </w:tr>
      <w:tr w14:paraId="0DF24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atLeast"/>
          <w:jc w:val="center"/>
        </w:trPr>
        <w:tc>
          <w:tcPr>
            <w:tcW w:w="816" w:type="dxa"/>
            <w:vMerge w:val="restart"/>
            <w:shd w:val="clear" w:color="000000" w:fill="FFFFFF"/>
            <w:noWrap w:val="0"/>
            <w:vAlign w:val="center"/>
          </w:tcPr>
          <w:p w14:paraId="76053A1B">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2.2.2</w:t>
            </w:r>
          </w:p>
          <w:p w14:paraId="3573FDEB">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709" w:type="dxa"/>
            <w:vMerge w:val="restart"/>
            <w:shd w:val="clear" w:color="000000" w:fill="FFFFFF"/>
            <w:noWrap w:val="0"/>
            <w:vAlign w:val="center"/>
          </w:tcPr>
          <w:p w14:paraId="0F850228">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商务部分</w:t>
            </w:r>
          </w:p>
        </w:tc>
        <w:tc>
          <w:tcPr>
            <w:tcW w:w="1038" w:type="dxa"/>
            <w:vMerge w:val="restart"/>
            <w:shd w:val="clear" w:color="000000" w:fill="FFFFFF"/>
            <w:noWrap w:val="0"/>
            <w:vAlign w:val="center"/>
          </w:tcPr>
          <w:p w14:paraId="66F7328A">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w:t>
            </w:r>
          </w:p>
        </w:tc>
        <w:tc>
          <w:tcPr>
            <w:tcW w:w="1233" w:type="dxa"/>
            <w:shd w:val="clear" w:color="000000" w:fill="FFFFFF"/>
            <w:noWrap w:val="0"/>
            <w:vAlign w:val="center"/>
          </w:tcPr>
          <w:p w14:paraId="4F4F9D5B">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w:t>
            </w:r>
          </w:p>
        </w:tc>
        <w:tc>
          <w:tcPr>
            <w:tcW w:w="989" w:type="dxa"/>
            <w:shd w:val="clear" w:color="000000" w:fill="FFFFFF"/>
            <w:noWrap w:val="0"/>
            <w:vAlign w:val="center"/>
          </w:tcPr>
          <w:p w14:paraId="18B65526">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w:t>
            </w:r>
          </w:p>
        </w:tc>
        <w:tc>
          <w:tcPr>
            <w:tcW w:w="4925" w:type="dxa"/>
            <w:tcBorders>
              <w:bottom w:val="single" w:color="000000" w:sz="4" w:space="0"/>
            </w:tcBorders>
            <w:shd w:val="clear" w:color="000000" w:fill="FFFFFF"/>
            <w:noWrap w:val="0"/>
            <w:vAlign w:val="center"/>
          </w:tcPr>
          <w:p w14:paraId="51899E89">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14:paraId="2BB26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6" w:hRule="atLeast"/>
          <w:jc w:val="center"/>
        </w:trPr>
        <w:tc>
          <w:tcPr>
            <w:tcW w:w="816" w:type="dxa"/>
            <w:vMerge w:val="restart"/>
            <w:shd w:val="clear" w:color="000000" w:fill="FFFFFF"/>
            <w:noWrap w:val="0"/>
            <w:vAlign w:val="center"/>
          </w:tcPr>
          <w:p w14:paraId="0EE213E1">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2.2.2</w:t>
            </w:r>
          </w:p>
          <w:p w14:paraId="2108BDC5">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709" w:type="dxa"/>
            <w:vMerge w:val="restart"/>
            <w:shd w:val="clear" w:color="000000" w:fill="FFFFFF"/>
            <w:noWrap w:val="0"/>
            <w:vAlign w:val="center"/>
          </w:tcPr>
          <w:p w14:paraId="11106964">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技术部分</w:t>
            </w:r>
          </w:p>
        </w:tc>
        <w:tc>
          <w:tcPr>
            <w:tcW w:w="1038" w:type="dxa"/>
            <w:vMerge w:val="restart"/>
            <w:shd w:val="clear" w:color="000000" w:fill="FFFFFF"/>
            <w:noWrap w:val="0"/>
            <w:vAlign w:val="center"/>
          </w:tcPr>
          <w:p w14:paraId="57710DE1">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color w:val="auto"/>
                <w:highlight w:val="none"/>
                <w:lang w:val="zh-CN"/>
              </w:rPr>
            </w:pP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lang w:val="zh-CN"/>
              </w:rPr>
              <w:t>分</w:t>
            </w:r>
          </w:p>
        </w:tc>
        <w:tc>
          <w:tcPr>
            <w:tcW w:w="1233" w:type="dxa"/>
            <w:shd w:val="clear" w:color="000000" w:fill="FFFFFF"/>
            <w:noWrap w:val="0"/>
            <w:vAlign w:val="center"/>
          </w:tcPr>
          <w:p w14:paraId="76EFD110">
            <w:pPr>
              <w:pStyle w:val="6"/>
              <w:keepNext w:val="0"/>
              <w:keepLines w:val="0"/>
              <w:pageBreakBefore w:val="0"/>
              <w:kinsoku/>
              <w:wordWrap/>
              <w:overflowPunct/>
              <w:topLinePunct w:val="0"/>
              <w:bidi w:val="0"/>
              <w:snapToGrid w:val="0"/>
              <w:spacing w:line="320" w:lineRule="exact"/>
              <w:jc w:val="center"/>
              <w:textAlignment w:val="auto"/>
              <w:rPr>
                <w:rFonts w:hint="eastAsia"/>
                <w:color w:val="auto"/>
                <w:sz w:val="21"/>
                <w:szCs w:val="21"/>
                <w:highlight w:val="none"/>
              </w:rPr>
            </w:pPr>
            <w:r>
              <w:rPr>
                <w:rFonts w:hint="eastAsia"/>
                <w:color w:val="auto"/>
                <w:sz w:val="21"/>
                <w:szCs w:val="21"/>
                <w:highlight w:val="none"/>
              </w:rPr>
              <w:t>投标设备整体评价</w:t>
            </w:r>
          </w:p>
        </w:tc>
        <w:tc>
          <w:tcPr>
            <w:tcW w:w="989" w:type="dxa"/>
            <w:shd w:val="clear" w:color="000000" w:fill="FFFFFF"/>
            <w:noWrap w:val="0"/>
            <w:vAlign w:val="center"/>
          </w:tcPr>
          <w:p w14:paraId="62C6924A">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分</w:t>
            </w:r>
          </w:p>
        </w:tc>
        <w:tc>
          <w:tcPr>
            <w:tcW w:w="4925" w:type="dxa"/>
            <w:shd w:val="clear" w:color="000000" w:fill="FFFFFF"/>
            <w:noWrap w:val="0"/>
            <w:vAlign w:val="center"/>
          </w:tcPr>
          <w:p w14:paraId="1B5E62ED">
            <w:pPr>
              <w:autoSpaceDE w:val="0"/>
              <w:autoSpaceDN w:val="0"/>
              <w:adjustRightInd w:val="0"/>
              <w:snapToGrid w:val="0"/>
              <w:spacing w:line="320" w:lineRule="exact"/>
              <w:rPr>
                <w:rFonts w:hint="eastAsia" w:ascii="宋体" w:hAnsi="宋体" w:cs="宋体"/>
                <w:szCs w:val="21"/>
                <w:highlight w:val="none"/>
              </w:rPr>
            </w:pPr>
            <w:r>
              <w:rPr>
                <w:rFonts w:hint="eastAsia" w:ascii="宋体" w:hAnsi="宋体" w:cs="宋体"/>
                <w:szCs w:val="21"/>
                <w:highlight w:val="none"/>
              </w:rPr>
              <w:t>1.设备整体性能优越、功能齐全、完善，生产工艺非常成熟、技术先进，所用材料性能优异，完全满足招标文件要求，得24-30分；</w:t>
            </w:r>
          </w:p>
          <w:p w14:paraId="2B2F9844">
            <w:pPr>
              <w:autoSpaceDE w:val="0"/>
              <w:autoSpaceDN w:val="0"/>
              <w:adjustRightInd w:val="0"/>
              <w:snapToGrid w:val="0"/>
              <w:spacing w:line="320" w:lineRule="exact"/>
              <w:rPr>
                <w:rFonts w:hint="eastAsia" w:ascii="宋体" w:hAnsi="宋体" w:cs="宋体"/>
                <w:szCs w:val="21"/>
                <w:highlight w:val="none"/>
              </w:rPr>
            </w:pPr>
            <w:r>
              <w:rPr>
                <w:rFonts w:hint="eastAsia" w:ascii="宋体" w:hAnsi="宋体" w:cs="宋体"/>
                <w:szCs w:val="21"/>
                <w:highlight w:val="none"/>
              </w:rPr>
              <w:t>2.设备整体性能较高、功能较齐全、较完善，生产工艺成熟、技术较先进，所用材料性能较高，满足招标文件要求，得18-24分；</w:t>
            </w:r>
          </w:p>
          <w:p w14:paraId="1130AAAB">
            <w:pPr>
              <w:autoSpaceDE w:val="0"/>
              <w:autoSpaceDN w:val="0"/>
              <w:adjustRightInd w:val="0"/>
              <w:snapToGrid w:val="0"/>
              <w:spacing w:line="320" w:lineRule="exact"/>
              <w:rPr>
                <w:rFonts w:hint="eastAsia" w:ascii="宋体" w:hAnsi="宋体" w:cs="宋体"/>
                <w:color w:val="auto"/>
                <w:sz w:val="21"/>
                <w:szCs w:val="21"/>
                <w:highlight w:val="none"/>
                <w:lang w:val="zh-CN"/>
              </w:rPr>
            </w:pPr>
            <w:r>
              <w:rPr>
                <w:rFonts w:hint="eastAsia" w:ascii="宋体" w:hAnsi="宋体" w:cs="宋体"/>
                <w:szCs w:val="21"/>
                <w:highlight w:val="none"/>
              </w:rPr>
              <w:t>3.设备整体性能一般，功能一般，生产工艺一般，基本满足招标文件要求，得18分。</w:t>
            </w:r>
          </w:p>
        </w:tc>
      </w:tr>
      <w:tr w14:paraId="52223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0" w:hRule="atLeast"/>
          <w:jc w:val="center"/>
        </w:trPr>
        <w:tc>
          <w:tcPr>
            <w:tcW w:w="816" w:type="dxa"/>
            <w:vMerge w:val="continue"/>
            <w:shd w:val="clear" w:color="000000" w:fill="FFFFFF"/>
            <w:noWrap w:val="0"/>
            <w:vAlign w:val="center"/>
          </w:tcPr>
          <w:p w14:paraId="651D0AC6">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cs="宋体"/>
                <w:color w:val="auto"/>
                <w:sz w:val="21"/>
                <w:szCs w:val="21"/>
                <w:highlight w:val="none"/>
              </w:rPr>
            </w:pPr>
          </w:p>
        </w:tc>
        <w:tc>
          <w:tcPr>
            <w:tcW w:w="709" w:type="dxa"/>
            <w:vMerge w:val="continue"/>
            <w:shd w:val="clear" w:color="000000" w:fill="FFFFFF"/>
            <w:noWrap w:val="0"/>
            <w:vAlign w:val="center"/>
          </w:tcPr>
          <w:p w14:paraId="0A1D133D">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cs="宋体"/>
                <w:color w:val="auto"/>
                <w:sz w:val="21"/>
                <w:szCs w:val="21"/>
                <w:highlight w:val="none"/>
                <w:lang w:val="zh-CN"/>
              </w:rPr>
            </w:pPr>
          </w:p>
        </w:tc>
        <w:tc>
          <w:tcPr>
            <w:tcW w:w="1038" w:type="dxa"/>
            <w:vMerge w:val="continue"/>
            <w:shd w:val="clear" w:color="000000" w:fill="FFFFFF"/>
            <w:noWrap w:val="0"/>
            <w:vAlign w:val="center"/>
          </w:tcPr>
          <w:p w14:paraId="5DA6691C">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cs="宋体"/>
                <w:color w:val="auto"/>
                <w:sz w:val="21"/>
                <w:szCs w:val="21"/>
                <w:highlight w:val="none"/>
              </w:rPr>
            </w:pPr>
          </w:p>
        </w:tc>
        <w:tc>
          <w:tcPr>
            <w:tcW w:w="1233" w:type="dxa"/>
            <w:shd w:val="clear" w:color="000000" w:fill="FFFFFF"/>
            <w:noWrap w:val="0"/>
            <w:vAlign w:val="center"/>
          </w:tcPr>
          <w:p w14:paraId="371A8C71">
            <w:pPr>
              <w:pStyle w:val="6"/>
              <w:keepNext w:val="0"/>
              <w:keepLines w:val="0"/>
              <w:pageBreakBefore w:val="0"/>
              <w:kinsoku/>
              <w:wordWrap/>
              <w:overflowPunct/>
              <w:topLinePunct w:val="0"/>
              <w:bidi w:val="0"/>
              <w:snapToGrid w:val="0"/>
              <w:spacing w:line="320" w:lineRule="exact"/>
              <w:jc w:val="center"/>
              <w:textAlignment w:val="auto"/>
              <w:rPr>
                <w:rFonts w:hint="eastAsia"/>
                <w:color w:val="auto"/>
                <w:sz w:val="21"/>
                <w:szCs w:val="21"/>
                <w:highlight w:val="none"/>
              </w:rPr>
            </w:pPr>
            <w:r>
              <w:rPr>
                <w:rFonts w:hint="eastAsia"/>
                <w:color w:val="auto"/>
                <w:sz w:val="21"/>
                <w:szCs w:val="21"/>
                <w:highlight w:val="none"/>
              </w:rPr>
              <w:t>投标设备技术性能指标响应程度</w:t>
            </w:r>
          </w:p>
        </w:tc>
        <w:tc>
          <w:tcPr>
            <w:tcW w:w="989" w:type="dxa"/>
            <w:shd w:val="clear" w:color="000000" w:fill="FFFFFF"/>
            <w:noWrap w:val="0"/>
            <w:vAlign w:val="center"/>
          </w:tcPr>
          <w:p w14:paraId="624D42A8">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分</w:t>
            </w:r>
          </w:p>
        </w:tc>
        <w:tc>
          <w:tcPr>
            <w:tcW w:w="4925" w:type="dxa"/>
            <w:shd w:val="clear" w:color="000000" w:fill="FFFFFF"/>
            <w:noWrap w:val="0"/>
            <w:vAlign w:val="top"/>
          </w:tcPr>
          <w:p w14:paraId="1AA2BAF2">
            <w:pPr>
              <w:autoSpaceDE w:val="0"/>
              <w:autoSpaceDN w:val="0"/>
              <w:adjustRightInd w:val="0"/>
              <w:snapToGrid w:val="0"/>
              <w:spacing w:line="320" w:lineRule="exact"/>
              <w:rPr>
                <w:rFonts w:hint="eastAsia" w:ascii="宋体" w:hAnsi="宋体" w:cs="宋体"/>
                <w:szCs w:val="21"/>
                <w:highlight w:val="none"/>
              </w:rPr>
            </w:pPr>
            <w:r>
              <w:rPr>
                <w:rFonts w:hint="eastAsia" w:ascii="宋体" w:hAnsi="宋体" w:cs="宋体"/>
                <w:szCs w:val="21"/>
                <w:highlight w:val="none"/>
              </w:rPr>
              <w:t>1.投标产品选型合理，针对本项目特点形成完整有效的技术解决方案，主要组成部件的技术性能参数及功能参数指标高，兼容性强、实用性强、产品设计科学合理、质量可靠，得24-30分；</w:t>
            </w:r>
          </w:p>
          <w:p w14:paraId="3BD37030">
            <w:pPr>
              <w:autoSpaceDE w:val="0"/>
              <w:autoSpaceDN w:val="0"/>
              <w:adjustRightInd w:val="0"/>
              <w:snapToGrid w:val="0"/>
              <w:spacing w:line="320" w:lineRule="exact"/>
              <w:rPr>
                <w:rFonts w:hint="eastAsia" w:ascii="宋体" w:hAnsi="宋体" w:cs="宋体"/>
                <w:szCs w:val="21"/>
                <w:highlight w:val="none"/>
              </w:rPr>
            </w:pPr>
            <w:r>
              <w:rPr>
                <w:rFonts w:hint="eastAsia" w:ascii="宋体" w:hAnsi="宋体" w:cs="宋体"/>
                <w:szCs w:val="21"/>
                <w:highlight w:val="none"/>
              </w:rPr>
              <w:t>2.投标产品选型较合理，能够形成完整的技术解决方案，主要组成部件的技术性能参数及功能参数指标较高，兼容性较强、实用性较强、产品设计较合理、质量较可靠，得18-24分；</w:t>
            </w:r>
          </w:p>
          <w:p w14:paraId="3E25B526">
            <w:pPr>
              <w:autoSpaceDE w:val="0"/>
              <w:autoSpaceDN w:val="0"/>
              <w:adjustRightInd w:val="0"/>
              <w:snapToGrid w:val="0"/>
              <w:spacing w:line="320" w:lineRule="exact"/>
              <w:rPr>
                <w:rFonts w:hint="eastAsia" w:ascii="宋体" w:hAnsi="宋体" w:cs="宋体"/>
                <w:color w:val="auto"/>
                <w:sz w:val="21"/>
                <w:szCs w:val="21"/>
                <w:highlight w:val="none"/>
                <w:lang w:val="zh-CN"/>
              </w:rPr>
            </w:pPr>
            <w:r>
              <w:rPr>
                <w:rFonts w:hint="eastAsia" w:ascii="宋体" w:hAnsi="宋体" w:cs="宋体"/>
                <w:szCs w:val="21"/>
                <w:highlight w:val="none"/>
              </w:rPr>
              <w:t>3.投标产品选型一般，技术解决方案一般，主要组成部件的技术性能参数及功能参数指标一般，兼容性一般、实用性一般、产品设计一般、质量一般，得18分。</w:t>
            </w:r>
          </w:p>
        </w:tc>
      </w:tr>
      <w:tr w14:paraId="26517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0" w:hRule="atLeast"/>
          <w:jc w:val="center"/>
        </w:trPr>
        <w:tc>
          <w:tcPr>
            <w:tcW w:w="816" w:type="dxa"/>
            <w:vMerge w:val="continue"/>
            <w:shd w:val="clear" w:color="000000" w:fill="FFFFFF"/>
            <w:noWrap w:val="0"/>
            <w:vAlign w:val="center"/>
          </w:tcPr>
          <w:p w14:paraId="1F097C49">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cs="宋体"/>
                <w:color w:val="auto"/>
                <w:sz w:val="21"/>
                <w:szCs w:val="21"/>
                <w:highlight w:val="none"/>
              </w:rPr>
            </w:pPr>
          </w:p>
        </w:tc>
        <w:tc>
          <w:tcPr>
            <w:tcW w:w="709" w:type="dxa"/>
            <w:vMerge w:val="continue"/>
            <w:shd w:val="clear" w:color="000000" w:fill="FFFFFF"/>
            <w:noWrap w:val="0"/>
            <w:vAlign w:val="center"/>
          </w:tcPr>
          <w:p w14:paraId="6FDDE896">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cs="宋体"/>
                <w:color w:val="auto"/>
                <w:sz w:val="21"/>
                <w:szCs w:val="21"/>
                <w:highlight w:val="none"/>
                <w:lang w:val="zh-CN"/>
              </w:rPr>
            </w:pPr>
          </w:p>
        </w:tc>
        <w:tc>
          <w:tcPr>
            <w:tcW w:w="1038" w:type="dxa"/>
            <w:vMerge w:val="continue"/>
            <w:shd w:val="clear" w:color="000000" w:fill="FFFFFF"/>
            <w:noWrap w:val="0"/>
            <w:vAlign w:val="center"/>
          </w:tcPr>
          <w:p w14:paraId="2302D24A">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default" w:ascii="宋体" w:hAnsi="宋体" w:cs="宋体"/>
                <w:color w:val="auto"/>
                <w:sz w:val="21"/>
                <w:szCs w:val="21"/>
                <w:highlight w:val="none"/>
                <w:lang w:val="en-US" w:eastAsia="zh-CN"/>
              </w:rPr>
            </w:pPr>
          </w:p>
        </w:tc>
        <w:tc>
          <w:tcPr>
            <w:tcW w:w="1233" w:type="dxa"/>
            <w:tcBorders>
              <w:top w:val="single" w:color="auto" w:sz="4" w:space="0"/>
            </w:tcBorders>
            <w:shd w:val="clear" w:color="000000" w:fill="FFFFFF"/>
            <w:noWrap w:val="0"/>
            <w:vAlign w:val="center"/>
          </w:tcPr>
          <w:p w14:paraId="7459F053">
            <w:pPr>
              <w:pStyle w:val="6"/>
              <w:keepNext w:val="0"/>
              <w:keepLines w:val="0"/>
              <w:pageBreakBefore w:val="0"/>
              <w:kinsoku/>
              <w:wordWrap/>
              <w:overflowPunct/>
              <w:topLinePunct w:val="0"/>
              <w:bidi w:val="0"/>
              <w:snapToGrid w:val="0"/>
              <w:spacing w:line="320" w:lineRule="exact"/>
              <w:jc w:val="center"/>
              <w:textAlignment w:val="auto"/>
              <w:rPr>
                <w:rFonts w:hint="eastAsia" w:eastAsia="宋体"/>
                <w:color w:val="auto"/>
                <w:sz w:val="21"/>
                <w:szCs w:val="21"/>
                <w:highlight w:val="none"/>
                <w:lang w:eastAsia="zh-CN"/>
              </w:rPr>
            </w:pPr>
            <w:r>
              <w:rPr>
                <w:rFonts w:hint="eastAsia"/>
                <w:color w:val="auto"/>
                <w:sz w:val="21"/>
                <w:szCs w:val="21"/>
                <w:highlight w:val="none"/>
              </w:rPr>
              <w:t>供货能力及进度保障</w:t>
            </w:r>
            <w:r>
              <w:rPr>
                <w:rFonts w:hint="eastAsia"/>
                <w:color w:val="auto"/>
                <w:sz w:val="21"/>
                <w:szCs w:val="21"/>
                <w:highlight w:val="none"/>
                <w:lang w:eastAsia="zh-CN"/>
              </w:rPr>
              <w:t>（</w:t>
            </w:r>
            <w:r>
              <w:rPr>
                <w:rFonts w:hint="eastAsia"/>
                <w:color w:val="auto"/>
                <w:sz w:val="21"/>
                <w:szCs w:val="21"/>
                <w:highlight w:val="none"/>
                <w:lang w:val="en-US" w:eastAsia="zh-CN"/>
              </w:rPr>
              <w:t>暗标</w:t>
            </w:r>
            <w:r>
              <w:rPr>
                <w:rFonts w:hint="eastAsia"/>
                <w:color w:val="auto"/>
                <w:sz w:val="21"/>
                <w:szCs w:val="21"/>
                <w:highlight w:val="none"/>
                <w:lang w:eastAsia="zh-CN"/>
              </w:rPr>
              <w:t>）</w:t>
            </w:r>
          </w:p>
        </w:tc>
        <w:tc>
          <w:tcPr>
            <w:tcW w:w="989" w:type="dxa"/>
            <w:shd w:val="clear" w:color="000000" w:fill="FFFFFF"/>
            <w:noWrap w:val="0"/>
            <w:vAlign w:val="center"/>
          </w:tcPr>
          <w:p w14:paraId="4610A254">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分</w:t>
            </w:r>
          </w:p>
        </w:tc>
        <w:tc>
          <w:tcPr>
            <w:tcW w:w="4925" w:type="dxa"/>
            <w:shd w:val="clear" w:color="000000" w:fill="FFFFFF"/>
            <w:noWrap w:val="0"/>
            <w:vAlign w:val="top"/>
          </w:tcPr>
          <w:p w14:paraId="6CD24929">
            <w:pPr>
              <w:snapToGrid w:val="0"/>
              <w:spacing w:line="320" w:lineRule="exact"/>
              <w:rPr>
                <w:rFonts w:hint="eastAsia" w:ascii="宋体" w:hAnsi="宋体" w:cs="宋体"/>
                <w:szCs w:val="21"/>
                <w:highlight w:val="none"/>
              </w:rPr>
            </w:pPr>
            <w:r>
              <w:rPr>
                <w:rFonts w:hint="eastAsia" w:ascii="宋体" w:hAnsi="宋体" w:cs="宋体"/>
                <w:szCs w:val="21"/>
                <w:highlight w:val="none"/>
              </w:rPr>
              <w:t>1.投标人提供的供货方案切实可行、供货能力强、交货进度有保障、能够保质保量的完成供货，针对供货过程中的特殊情况有科学合理的应急预案，得16-20分；</w:t>
            </w:r>
          </w:p>
          <w:p w14:paraId="2D21BBEC">
            <w:pPr>
              <w:snapToGrid w:val="0"/>
              <w:spacing w:line="320" w:lineRule="exact"/>
              <w:rPr>
                <w:rFonts w:hint="eastAsia" w:ascii="宋体" w:hAnsi="宋体" w:cs="宋体"/>
                <w:szCs w:val="21"/>
                <w:highlight w:val="none"/>
              </w:rPr>
            </w:pPr>
            <w:r>
              <w:rPr>
                <w:rFonts w:hint="eastAsia" w:ascii="宋体" w:hAnsi="宋体" w:cs="宋体"/>
                <w:szCs w:val="21"/>
                <w:highlight w:val="none"/>
              </w:rPr>
              <w:t>2.投标人提供的供货方案可行、供货能力较强、交货进度满足招标文件要求，得12-16分；</w:t>
            </w:r>
          </w:p>
          <w:p w14:paraId="4425F7F5">
            <w:pPr>
              <w:snapToGrid w:val="0"/>
              <w:spacing w:line="320" w:lineRule="exact"/>
              <w:rPr>
                <w:rFonts w:hint="eastAsia" w:ascii="宋体" w:hAnsi="宋体" w:cs="宋体"/>
                <w:color w:val="auto"/>
                <w:sz w:val="21"/>
                <w:szCs w:val="21"/>
                <w:highlight w:val="none"/>
                <w:lang w:val="zh-CN"/>
              </w:rPr>
            </w:pPr>
            <w:r>
              <w:rPr>
                <w:rFonts w:hint="eastAsia" w:ascii="宋体" w:hAnsi="宋体" w:cs="宋体"/>
                <w:szCs w:val="21"/>
                <w:highlight w:val="none"/>
              </w:rPr>
              <w:t>3.投标人提供的供货方案一般、供货能力一般、交货进度基本满足招标文件要求，得12分。</w:t>
            </w:r>
          </w:p>
        </w:tc>
      </w:tr>
      <w:tr w14:paraId="2751D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7" w:hRule="atLeast"/>
          <w:jc w:val="center"/>
        </w:trPr>
        <w:tc>
          <w:tcPr>
            <w:tcW w:w="816" w:type="dxa"/>
            <w:vMerge w:val="continue"/>
            <w:shd w:val="clear" w:color="000000" w:fill="FFFFFF"/>
            <w:noWrap w:val="0"/>
            <w:vAlign w:val="center"/>
          </w:tcPr>
          <w:p w14:paraId="07B39013">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cs="宋体"/>
                <w:color w:val="auto"/>
                <w:sz w:val="21"/>
                <w:szCs w:val="21"/>
                <w:highlight w:val="none"/>
              </w:rPr>
            </w:pPr>
          </w:p>
        </w:tc>
        <w:tc>
          <w:tcPr>
            <w:tcW w:w="709" w:type="dxa"/>
            <w:vMerge w:val="continue"/>
            <w:shd w:val="clear" w:color="000000" w:fill="FFFFFF"/>
            <w:noWrap w:val="0"/>
            <w:vAlign w:val="center"/>
          </w:tcPr>
          <w:p w14:paraId="139E40B2">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cs="宋体"/>
                <w:color w:val="auto"/>
                <w:sz w:val="21"/>
                <w:szCs w:val="21"/>
                <w:highlight w:val="none"/>
                <w:lang w:val="zh-CN"/>
              </w:rPr>
            </w:pPr>
          </w:p>
        </w:tc>
        <w:tc>
          <w:tcPr>
            <w:tcW w:w="1038" w:type="dxa"/>
            <w:vMerge w:val="continue"/>
            <w:shd w:val="clear" w:color="000000" w:fill="FFFFFF"/>
            <w:noWrap w:val="0"/>
            <w:vAlign w:val="center"/>
          </w:tcPr>
          <w:p w14:paraId="7EDEA904">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cs="宋体"/>
                <w:color w:val="auto"/>
                <w:sz w:val="21"/>
                <w:szCs w:val="21"/>
                <w:highlight w:val="none"/>
              </w:rPr>
            </w:pPr>
          </w:p>
        </w:tc>
        <w:tc>
          <w:tcPr>
            <w:tcW w:w="1233" w:type="dxa"/>
            <w:shd w:val="clear" w:color="000000" w:fill="FFFFFF"/>
            <w:noWrap w:val="0"/>
            <w:vAlign w:val="center"/>
          </w:tcPr>
          <w:p w14:paraId="57A651B1">
            <w:pPr>
              <w:pStyle w:val="6"/>
              <w:keepNext w:val="0"/>
              <w:keepLines w:val="0"/>
              <w:pageBreakBefore w:val="0"/>
              <w:kinsoku/>
              <w:wordWrap/>
              <w:overflowPunct/>
              <w:topLinePunct w:val="0"/>
              <w:bidi w:val="0"/>
              <w:snapToGrid w:val="0"/>
              <w:spacing w:line="320" w:lineRule="exact"/>
              <w:jc w:val="center"/>
              <w:textAlignment w:val="auto"/>
              <w:rPr>
                <w:rFonts w:hint="eastAsia"/>
                <w:color w:val="auto"/>
                <w:sz w:val="21"/>
                <w:szCs w:val="21"/>
                <w:highlight w:val="none"/>
              </w:rPr>
            </w:pPr>
            <w:r>
              <w:rPr>
                <w:rFonts w:hint="eastAsia"/>
                <w:color w:val="auto"/>
                <w:sz w:val="21"/>
                <w:szCs w:val="21"/>
                <w:highlight w:val="none"/>
              </w:rPr>
              <w:t>技术服务</w:t>
            </w:r>
            <w:r>
              <w:rPr>
                <w:rFonts w:hint="eastAsia"/>
                <w:color w:val="auto"/>
                <w:sz w:val="21"/>
                <w:szCs w:val="21"/>
                <w:highlight w:val="none"/>
                <w:lang w:val="en-US"/>
              </w:rPr>
              <w:t>及质保期</w:t>
            </w:r>
            <w:r>
              <w:rPr>
                <w:rFonts w:hint="eastAsia"/>
                <w:color w:val="auto"/>
                <w:sz w:val="21"/>
                <w:szCs w:val="21"/>
                <w:highlight w:val="none"/>
              </w:rPr>
              <w:t>服务</w:t>
            </w:r>
            <w:r>
              <w:rPr>
                <w:rFonts w:hint="eastAsia"/>
                <w:color w:val="auto"/>
                <w:sz w:val="21"/>
                <w:szCs w:val="21"/>
                <w:highlight w:val="none"/>
                <w:lang w:eastAsia="zh-CN"/>
              </w:rPr>
              <w:t>（</w:t>
            </w:r>
            <w:r>
              <w:rPr>
                <w:rFonts w:hint="eastAsia"/>
                <w:color w:val="auto"/>
                <w:sz w:val="21"/>
                <w:szCs w:val="21"/>
                <w:highlight w:val="none"/>
                <w:lang w:val="en-US" w:eastAsia="zh-CN"/>
              </w:rPr>
              <w:t>暗标</w:t>
            </w:r>
            <w:r>
              <w:rPr>
                <w:rFonts w:hint="eastAsia"/>
                <w:color w:val="auto"/>
                <w:sz w:val="21"/>
                <w:szCs w:val="21"/>
                <w:highlight w:val="none"/>
                <w:lang w:eastAsia="zh-CN"/>
              </w:rPr>
              <w:t>）</w:t>
            </w:r>
          </w:p>
        </w:tc>
        <w:tc>
          <w:tcPr>
            <w:tcW w:w="989" w:type="dxa"/>
            <w:shd w:val="clear" w:color="000000" w:fill="FFFFFF"/>
            <w:noWrap w:val="0"/>
            <w:vAlign w:val="center"/>
          </w:tcPr>
          <w:p w14:paraId="4DB65997">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分</w:t>
            </w:r>
          </w:p>
        </w:tc>
        <w:tc>
          <w:tcPr>
            <w:tcW w:w="4925" w:type="dxa"/>
            <w:tcBorders>
              <w:bottom w:val="single" w:color="auto" w:sz="4" w:space="0"/>
            </w:tcBorders>
            <w:shd w:val="clear" w:color="000000" w:fill="FFFFFF"/>
            <w:noWrap w:val="0"/>
            <w:vAlign w:val="center"/>
          </w:tcPr>
          <w:p w14:paraId="23F511C6">
            <w:pPr>
              <w:autoSpaceDE w:val="0"/>
              <w:autoSpaceDN w:val="0"/>
              <w:adjustRightInd w:val="0"/>
              <w:snapToGrid w:val="0"/>
              <w:spacing w:line="320" w:lineRule="exact"/>
              <w:rPr>
                <w:rFonts w:hint="eastAsia" w:ascii="宋体" w:hAnsi="宋体" w:cs="宋体"/>
                <w:szCs w:val="21"/>
                <w:highlight w:val="none"/>
              </w:rPr>
            </w:pPr>
            <w:r>
              <w:rPr>
                <w:rFonts w:hint="eastAsia" w:ascii="宋体" w:hAnsi="宋体" w:cs="宋体"/>
                <w:szCs w:val="21"/>
                <w:highlight w:val="none"/>
                <w:lang w:val="zh-CN"/>
              </w:rPr>
              <w:t>服务方案切实可行，针对性强，</w:t>
            </w:r>
            <w:r>
              <w:rPr>
                <w:rFonts w:hint="eastAsia" w:ascii="宋体" w:hAnsi="宋体" w:cs="宋体"/>
                <w:szCs w:val="21"/>
                <w:highlight w:val="none"/>
              </w:rPr>
              <w:t>设置有专门的运维机制，确保发生故障时快速响应并及时进行修复</w:t>
            </w:r>
            <w:r>
              <w:rPr>
                <w:rFonts w:hint="eastAsia" w:ascii="宋体" w:hAnsi="宋体" w:cs="宋体"/>
                <w:szCs w:val="21"/>
                <w:highlight w:val="none"/>
                <w:lang w:val="zh-CN"/>
              </w:rPr>
              <w:t>，</w:t>
            </w:r>
            <w:r>
              <w:rPr>
                <w:rFonts w:hint="eastAsia" w:ascii="宋体" w:hAnsi="宋体" w:cs="宋体"/>
                <w:szCs w:val="21"/>
                <w:highlight w:val="none"/>
              </w:rPr>
              <w:t>服务体系完善</w:t>
            </w:r>
            <w:r>
              <w:rPr>
                <w:rFonts w:hint="eastAsia" w:ascii="宋体" w:hAnsi="宋体" w:cs="宋体"/>
                <w:szCs w:val="21"/>
                <w:highlight w:val="none"/>
                <w:lang w:val="zh-CN"/>
              </w:rPr>
              <w:t>，得</w:t>
            </w:r>
            <w:r>
              <w:rPr>
                <w:rFonts w:hint="eastAsia" w:ascii="宋体" w:hAnsi="宋体" w:cs="宋体"/>
                <w:szCs w:val="21"/>
                <w:highlight w:val="none"/>
              </w:rPr>
              <w:t>16</w:t>
            </w:r>
            <w:r>
              <w:rPr>
                <w:rFonts w:hint="eastAsia" w:ascii="宋体" w:hAnsi="宋体" w:cs="宋体"/>
                <w:szCs w:val="21"/>
                <w:highlight w:val="none"/>
                <w:lang w:val="zh-CN"/>
              </w:rPr>
              <w:t>-</w:t>
            </w:r>
            <w:r>
              <w:rPr>
                <w:rFonts w:hint="eastAsia" w:ascii="宋体" w:hAnsi="宋体" w:cs="宋体"/>
                <w:szCs w:val="21"/>
                <w:highlight w:val="none"/>
              </w:rPr>
              <w:t>20</w:t>
            </w:r>
            <w:r>
              <w:rPr>
                <w:rFonts w:hint="eastAsia" w:ascii="宋体" w:hAnsi="宋体" w:cs="宋体"/>
                <w:szCs w:val="21"/>
                <w:highlight w:val="none"/>
                <w:lang w:val="zh-CN"/>
              </w:rPr>
              <w:t>分；</w:t>
            </w:r>
          </w:p>
          <w:p w14:paraId="31A3CF99">
            <w:pPr>
              <w:snapToGrid w:val="0"/>
              <w:spacing w:line="320" w:lineRule="exact"/>
              <w:rPr>
                <w:rFonts w:hint="eastAsia" w:ascii="宋体" w:hAnsi="宋体" w:cs="宋体"/>
                <w:szCs w:val="21"/>
                <w:highlight w:val="none"/>
              </w:rPr>
            </w:pPr>
            <w:r>
              <w:rPr>
                <w:rFonts w:hint="eastAsia" w:ascii="宋体" w:hAnsi="宋体" w:cs="宋体"/>
                <w:szCs w:val="21"/>
                <w:highlight w:val="none"/>
                <w:lang w:val="zh-CN"/>
              </w:rPr>
              <w:t>服务方案较切实可行，针对性较强、</w:t>
            </w:r>
            <w:r>
              <w:rPr>
                <w:rFonts w:hint="eastAsia" w:ascii="宋体" w:hAnsi="宋体" w:cs="宋体"/>
                <w:szCs w:val="21"/>
                <w:highlight w:val="none"/>
              </w:rPr>
              <w:t>响应及时</w:t>
            </w:r>
            <w:r>
              <w:rPr>
                <w:rFonts w:hint="eastAsia" w:ascii="宋体" w:hAnsi="宋体" w:cs="宋体"/>
                <w:szCs w:val="21"/>
                <w:highlight w:val="none"/>
                <w:lang w:val="zh-CN"/>
              </w:rPr>
              <w:t>，</w:t>
            </w:r>
            <w:r>
              <w:rPr>
                <w:rFonts w:hint="eastAsia" w:ascii="宋体" w:hAnsi="宋体" w:cs="宋体"/>
                <w:szCs w:val="21"/>
                <w:highlight w:val="none"/>
              </w:rPr>
              <w:t>服务体系较完善</w:t>
            </w:r>
            <w:r>
              <w:rPr>
                <w:rFonts w:hint="eastAsia" w:ascii="宋体" w:hAnsi="宋体" w:cs="宋体"/>
                <w:szCs w:val="21"/>
                <w:highlight w:val="none"/>
                <w:lang w:val="zh-CN"/>
              </w:rPr>
              <w:t>，得</w:t>
            </w:r>
            <w:r>
              <w:rPr>
                <w:rFonts w:hint="eastAsia" w:ascii="宋体" w:hAnsi="宋体" w:cs="宋体"/>
                <w:szCs w:val="21"/>
                <w:highlight w:val="none"/>
              </w:rPr>
              <w:t>12</w:t>
            </w:r>
            <w:r>
              <w:rPr>
                <w:rFonts w:hint="eastAsia" w:ascii="宋体" w:hAnsi="宋体" w:cs="宋体"/>
                <w:szCs w:val="21"/>
                <w:highlight w:val="none"/>
                <w:lang w:val="zh-CN"/>
              </w:rPr>
              <w:t>-</w:t>
            </w:r>
            <w:r>
              <w:rPr>
                <w:rFonts w:hint="eastAsia" w:ascii="宋体" w:hAnsi="宋体" w:cs="宋体"/>
                <w:szCs w:val="21"/>
                <w:highlight w:val="none"/>
              </w:rPr>
              <w:t>16</w:t>
            </w:r>
            <w:r>
              <w:rPr>
                <w:rFonts w:hint="eastAsia" w:ascii="宋体" w:hAnsi="宋体" w:cs="宋体"/>
                <w:szCs w:val="21"/>
                <w:highlight w:val="none"/>
                <w:lang w:val="zh-CN"/>
              </w:rPr>
              <w:t>分；</w:t>
            </w:r>
          </w:p>
          <w:p w14:paraId="25798478">
            <w:pPr>
              <w:snapToGrid w:val="0"/>
              <w:spacing w:line="320" w:lineRule="exact"/>
              <w:rPr>
                <w:rFonts w:hint="eastAsia" w:ascii="宋体" w:hAnsi="宋体" w:cs="宋体"/>
                <w:color w:val="auto"/>
                <w:sz w:val="21"/>
                <w:szCs w:val="21"/>
                <w:highlight w:val="none"/>
                <w:lang w:val="zh-CN"/>
              </w:rPr>
            </w:pPr>
            <w:r>
              <w:rPr>
                <w:rFonts w:hint="eastAsia" w:ascii="宋体" w:hAnsi="宋体" w:cs="宋体"/>
                <w:szCs w:val="21"/>
                <w:highlight w:val="none"/>
                <w:lang w:val="zh-CN"/>
              </w:rPr>
              <w:t>服务方案基本可行，</w:t>
            </w:r>
            <w:r>
              <w:rPr>
                <w:rFonts w:hint="eastAsia" w:ascii="宋体" w:hAnsi="宋体" w:cs="宋体"/>
                <w:szCs w:val="21"/>
                <w:highlight w:val="none"/>
              </w:rPr>
              <w:t>服务体系基本完善</w:t>
            </w:r>
            <w:r>
              <w:rPr>
                <w:rFonts w:hint="eastAsia" w:ascii="宋体" w:hAnsi="宋体" w:cs="宋体"/>
                <w:szCs w:val="21"/>
                <w:highlight w:val="none"/>
                <w:lang w:val="zh-CN"/>
              </w:rPr>
              <w:t>，得</w:t>
            </w:r>
            <w:r>
              <w:rPr>
                <w:rFonts w:hint="eastAsia" w:ascii="宋体" w:hAnsi="宋体" w:cs="宋体"/>
                <w:szCs w:val="21"/>
                <w:highlight w:val="none"/>
              </w:rPr>
              <w:t>12</w:t>
            </w:r>
            <w:r>
              <w:rPr>
                <w:rFonts w:hint="eastAsia" w:ascii="宋体" w:hAnsi="宋体" w:cs="宋体"/>
                <w:szCs w:val="21"/>
                <w:highlight w:val="none"/>
                <w:lang w:val="zh-CN"/>
              </w:rPr>
              <w:t>分。</w:t>
            </w:r>
          </w:p>
        </w:tc>
      </w:tr>
      <w:tr w14:paraId="086A7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816" w:type="dxa"/>
            <w:shd w:val="clear" w:color="000000" w:fill="FFFFFF"/>
            <w:noWrap w:val="0"/>
            <w:vAlign w:val="center"/>
          </w:tcPr>
          <w:p w14:paraId="0F90E7E5">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2.2.2（3）</w:t>
            </w:r>
          </w:p>
        </w:tc>
        <w:tc>
          <w:tcPr>
            <w:tcW w:w="709" w:type="dxa"/>
            <w:shd w:val="clear" w:color="000000" w:fill="FFFFFF"/>
            <w:noWrap w:val="0"/>
            <w:vAlign w:val="center"/>
          </w:tcPr>
          <w:p w14:paraId="6B1A3EA8">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其他因素</w:t>
            </w:r>
          </w:p>
        </w:tc>
        <w:tc>
          <w:tcPr>
            <w:tcW w:w="1038" w:type="dxa"/>
            <w:shd w:val="clear" w:color="000000" w:fill="FFFFFF"/>
            <w:noWrap w:val="0"/>
            <w:vAlign w:val="center"/>
          </w:tcPr>
          <w:p w14:paraId="52778232">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w:t>
            </w:r>
          </w:p>
        </w:tc>
        <w:tc>
          <w:tcPr>
            <w:tcW w:w="1233" w:type="dxa"/>
            <w:tcBorders>
              <w:right w:val="single" w:color="auto" w:sz="4" w:space="0"/>
            </w:tcBorders>
            <w:shd w:val="clear" w:color="000000" w:fill="FFFFFF"/>
            <w:noWrap w:val="0"/>
            <w:vAlign w:val="center"/>
          </w:tcPr>
          <w:p w14:paraId="27B458F9">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989" w:type="dxa"/>
            <w:tcBorders>
              <w:left w:val="single" w:color="auto" w:sz="4" w:space="0"/>
              <w:right w:val="single" w:color="auto" w:sz="4" w:space="0"/>
            </w:tcBorders>
            <w:shd w:val="clear" w:color="000000" w:fill="FFFFFF"/>
            <w:noWrap w:val="0"/>
            <w:vAlign w:val="center"/>
          </w:tcPr>
          <w:p w14:paraId="79C17576">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4925" w:type="dxa"/>
            <w:tcBorders>
              <w:left w:val="single" w:color="auto" w:sz="4" w:space="0"/>
            </w:tcBorders>
            <w:shd w:val="clear" w:color="000000" w:fill="FFFFFF"/>
            <w:noWrap w:val="0"/>
            <w:vAlign w:val="center"/>
          </w:tcPr>
          <w:p w14:paraId="5233E343">
            <w:pPr>
              <w:keepNext w:val="0"/>
              <w:keepLines w:val="0"/>
              <w:pageBreakBefore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bl>
    <w:p w14:paraId="3EB2BB86">
      <w:pPr>
        <w:adjustRightInd w:val="0"/>
        <w:spacing w:line="288" w:lineRule="auto"/>
        <w:rPr>
          <w:rFonts w:hint="eastAsia" w:ascii="宋体" w:hAnsi="宋体" w:cs="宋体"/>
          <w:color w:val="auto"/>
          <w:szCs w:val="21"/>
          <w:highlight w:val="none"/>
        </w:rPr>
      </w:pPr>
      <w:r>
        <w:rPr>
          <w:rFonts w:hint="eastAsia" w:ascii="宋体" w:hAnsi="宋体" w:cs="宋体"/>
          <w:color w:val="auto"/>
          <w:szCs w:val="21"/>
          <w:highlight w:val="none"/>
        </w:rPr>
        <w:t>注：1.评委打分保留一位小数，各评分因素得分应以评标委员会各成员的打分平均值确定，保留两位小数，第三位四舍五入。</w:t>
      </w:r>
    </w:p>
    <w:p w14:paraId="2900591C">
      <w:pPr>
        <w:wordWrap w:val="0"/>
        <w:autoSpaceDE w:val="0"/>
        <w:autoSpaceDN w:val="0"/>
        <w:adjustRightInd w:val="0"/>
        <w:ind w:right="-20"/>
        <w:jc w:val="left"/>
      </w:pPr>
      <w:r>
        <w:rPr>
          <w:rFonts w:hint="eastAsia" w:ascii="宋体" w:hAnsi="宋体" w:cs="宋体"/>
          <w:color w:val="auto"/>
          <w:szCs w:val="21"/>
          <w:highlight w:val="none"/>
        </w:rPr>
        <w:t>2.技术部分评分因素缺项则该项得0分。</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CC"/>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CA4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customStyle="1" w:styleId="5">
    <w:name w:val="Table Text"/>
    <w:basedOn w:val="1"/>
    <w:semiHidden/>
    <w:qFormat/>
    <w:uiPriority w:val="0"/>
    <w:rPr>
      <w:rFonts w:ascii="宋体" w:hAnsi="宋体" w:eastAsia="宋体" w:cs="宋体"/>
      <w:sz w:val="20"/>
      <w:szCs w:val="20"/>
      <w:lang w:val="en-US" w:eastAsia="en-US" w:bidi="ar-SA"/>
    </w:rPr>
  </w:style>
  <w:style w:type="paragraph" w:customStyle="1" w:styleId="6">
    <w:name w:val="Table Paragraph"/>
    <w:basedOn w:val="1"/>
    <w:qFormat/>
    <w:uiPriority w:val="1"/>
    <w:pPr>
      <w:jc w:val="left"/>
    </w:pPr>
    <w:rPr>
      <w:rFonts w:ascii="Calibri" w:hAnsi="Calibri" w:eastAsia="宋体" w:cs="Times New Roman"/>
      <w:kern w:val="0"/>
      <w:sz w:val="2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2025-03-13T00:14:28Z</dcterms:created>
  <dc:creator>Administrator</dc:creator>
  <cp:lastModifiedBy>李娜</cp:lastModifiedBy>
  <dcterms:modified xsi:type="dcterms:W3CDTF">2025-03-13T00:14:46Z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eyJoZGlkIjoiOWYyZDYxNTJjZmI2NmVkYTMyOWVjMGFiZjEzZGM5NjgiLCJ1c2VySWQiOiIxNTI1NDExOTAzIn0=</vt:lpwstr>
  </property>
  <property fmtid="{D5CDD505-2E9C-101B-9397-08002B2CF9AE}" pid="4" name="ICV">
    <vt:lpwstr>AD6D6A68DAA4485EA3E6049AC4C7FACF_12</vt:lpwstr>
  </property>
</Properties>
</file>