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beforeLines="50" w:afterLines="50" w:line="240" w:lineRule="auto"/>
        <w:rPr>
          <w:rFonts w:hint="eastAsia" w:ascii="宋体" w:hAnsi="宋体" w:eastAsia="宋体" w:cs="宋体"/>
          <w:color w:val="auto"/>
          <w:highlight w:val="none"/>
        </w:rPr>
      </w:pPr>
      <w:bookmarkStart w:id="0" w:name="_Toc141780406"/>
      <w:r>
        <w:rPr>
          <w:rFonts w:hint="eastAsia" w:ascii="宋体" w:hAnsi="宋体" w:eastAsia="宋体" w:cs="宋体"/>
          <w:color w:val="auto"/>
          <w:sz w:val="24"/>
          <w:szCs w:val="24"/>
          <w:highlight w:val="none"/>
        </w:rPr>
        <w:t>附件1：资格审查条件</w:t>
      </w:r>
      <w:bookmarkEnd w:id="0"/>
    </w:p>
    <w:p>
      <w:pPr>
        <w:jc w:val="center"/>
        <w:rPr>
          <w:rFonts w:hint="eastAsia" w:ascii="宋体" w:hAnsi="宋体" w:eastAsia="宋体" w:cs="宋体"/>
          <w:color w:val="auto"/>
          <w:highlight w:val="none"/>
        </w:rPr>
      </w:pPr>
    </w:p>
    <w:p>
      <w:pPr>
        <w:adjustRightIn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附录1 </w:t>
      </w:r>
      <w:r>
        <w:rPr>
          <w:rFonts w:hint="eastAsia" w:ascii="宋体" w:hAnsi="宋体" w:eastAsia="宋体" w:cs="宋体"/>
          <w:b/>
          <w:color w:val="auto"/>
          <w:sz w:val="24"/>
          <w:highlight w:val="none"/>
        </w:rPr>
        <w:t>资格</w:t>
      </w:r>
      <w:r>
        <w:rPr>
          <w:rFonts w:hint="eastAsia" w:ascii="宋体" w:hAnsi="宋体" w:eastAsia="宋体" w:cs="宋体"/>
          <w:b/>
          <w:color w:val="auto"/>
          <w:sz w:val="24"/>
          <w:szCs w:val="24"/>
          <w:highlight w:val="none"/>
        </w:rPr>
        <w:t>审查条件（资质最低要求）</w:t>
      </w:r>
    </w:p>
    <w:tbl>
      <w:tblPr>
        <w:tblStyle w:val="6"/>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pPr>
              <w:pStyle w:val="5"/>
              <w:spacing w:before="0" w:beforeAutospacing="0" w:after="0" w:afterAutospacing="0" w:line="240" w:lineRule="auto"/>
              <w:ind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6" w:hRule="atLeast"/>
          <w:jc w:val="center"/>
        </w:trPr>
        <w:tc>
          <w:tcPr>
            <w:tcW w:w="9286"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olor w:val="auto"/>
                <w:kern w:val="0"/>
                <w:sz w:val="21"/>
                <w:szCs w:val="21"/>
                <w:highlight w:val="none"/>
                <w:lang w:val="en-US" w:eastAsia="zh-CN"/>
              </w:rPr>
              <w:t>1.</w:t>
            </w:r>
            <w:r>
              <w:rPr>
                <w:rFonts w:hint="eastAsia" w:ascii="宋体" w:hAnsi="宋体"/>
                <w:color w:val="auto"/>
                <w:kern w:val="0"/>
                <w:sz w:val="21"/>
                <w:szCs w:val="21"/>
                <w:highlight w:val="none"/>
              </w:rPr>
              <w:t>具有独立法人资格，具有有效的企业营业执照或事业单位法人证书</w:t>
            </w:r>
            <w:r>
              <w:rPr>
                <w:rFonts w:hint="eastAsia" w:ascii="宋体" w:hAnsi="宋体" w:eastAsia="宋体" w:cs="宋体"/>
                <w:color w:val="auto"/>
                <w:sz w:val="21"/>
                <w:szCs w:val="21"/>
                <w:highlight w:val="none"/>
              </w:rPr>
              <w:t>。</w:t>
            </w:r>
          </w:p>
          <w:p>
            <w:pPr>
              <w:pStyle w:val="8"/>
              <w:keepNext w:val="0"/>
              <w:keepLines w:val="0"/>
              <w:pageBreakBefore w:val="0"/>
              <w:widowControl w:val="0"/>
              <w:kinsoku/>
              <w:wordWrap/>
              <w:overflowPunct/>
              <w:topLinePunct w:val="0"/>
              <w:bidi w:val="0"/>
              <w:snapToGrid/>
              <w:spacing w:line="320" w:lineRule="exact"/>
              <w:ind w:right="-168" w:rightChars="-80" w:firstLine="420" w:firstLineChars="200"/>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2.具备住建行政主管部门颁发的工程设计综合甲级资质或工程设计公路行业甲级资质；</w:t>
            </w:r>
          </w:p>
          <w:p>
            <w:pPr>
              <w:pStyle w:val="8"/>
              <w:keepNext w:val="0"/>
              <w:keepLines w:val="0"/>
              <w:pageBreakBefore w:val="0"/>
              <w:widowControl w:val="0"/>
              <w:kinsoku/>
              <w:wordWrap/>
              <w:overflowPunct/>
              <w:topLinePunct w:val="0"/>
              <w:bidi w:val="0"/>
              <w:snapToGrid/>
              <w:spacing w:line="320" w:lineRule="exact"/>
              <w:ind w:right="-168" w:rightChars="-80" w:firstLine="420" w:firstLineChars="200"/>
              <w:jc w:val="left"/>
              <w:textAlignment w:val="auto"/>
              <w:rPr>
                <w:rFonts w:hint="eastAsia" w:ascii="宋体" w:hAnsi="宋体" w:eastAsia="宋体" w:cs="宋体"/>
                <w:color w:val="auto"/>
                <w:highlight w:val="none"/>
                <w:lang w:eastAsia="zh-CN"/>
              </w:rPr>
            </w:pPr>
            <w:r>
              <w:rPr>
                <w:rFonts w:hint="eastAsia" w:hAnsi="宋体"/>
                <w:color w:val="auto"/>
                <w:sz w:val="21"/>
                <w:szCs w:val="21"/>
                <w:highlight w:val="none"/>
                <w:lang w:val="en-US" w:eastAsia="zh-CN"/>
              </w:rPr>
              <w:t>3.</w:t>
            </w:r>
            <w:r>
              <w:rPr>
                <w:rFonts w:hint="eastAsia" w:ascii="宋体" w:hAnsi="宋体"/>
                <w:color w:val="auto"/>
                <w:sz w:val="21"/>
                <w:szCs w:val="21"/>
                <w:highlight w:val="none"/>
              </w:rPr>
              <w:t>具备</w:t>
            </w:r>
            <w:r>
              <w:rPr>
                <w:rFonts w:hint="eastAsia" w:hAnsi="宋体"/>
                <w:color w:val="auto"/>
                <w:sz w:val="21"/>
                <w:szCs w:val="21"/>
                <w:highlight w:val="none"/>
                <w:lang w:val="en-US" w:eastAsia="zh-CN"/>
              </w:rPr>
              <w:t>交通运输主管部门颁发的</w:t>
            </w:r>
            <w:r>
              <w:rPr>
                <w:rFonts w:hint="eastAsia" w:ascii="宋体" w:hAnsi="宋体"/>
                <w:color w:val="auto"/>
                <w:sz w:val="21"/>
                <w:szCs w:val="21"/>
                <w:highlight w:val="none"/>
              </w:rPr>
              <w:t>公路工程</w:t>
            </w:r>
            <w:r>
              <w:rPr>
                <w:rFonts w:hint="eastAsia" w:hAnsi="宋体"/>
                <w:color w:val="auto"/>
                <w:sz w:val="21"/>
                <w:szCs w:val="21"/>
                <w:highlight w:val="none"/>
                <w:lang w:val="en-US" w:eastAsia="zh-CN"/>
              </w:rPr>
              <w:t>甲级质量</w:t>
            </w:r>
            <w:r>
              <w:rPr>
                <w:rFonts w:hint="eastAsia" w:ascii="宋体" w:hAnsi="宋体"/>
                <w:color w:val="auto"/>
                <w:sz w:val="21"/>
                <w:szCs w:val="21"/>
                <w:highlight w:val="none"/>
              </w:rPr>
              <w:t>检测资质</w:t>
            </w:r>
            <w:r>
              <w:rPr>
                <w:rFonts w:hint="eastAsia" w:hAnsi="宋体"/>
                <w:color w:val="auto"/>
                <w:sz w:val="21"/>
                <w:szCs w:val="21"/>
                <w:highlight w:val="none"/>
                <w:lang w:val="en-US" w:eastAsia="zh-CN"/>
              </w:rPr>
              <w:t>和</w:t>
            </w:r>
            <w:r>
              <w:rPr>
                <w:rFonts w:hint="eastAsia" w:ascii="宋体" w:hAnsi="宋体"/>
                <w:color w:val="auto"/>
                <w:sz w:val="21"/>
                <w:szCs w:val="21"/>
                <w:highlight w:val="none"/>
              </w:rPr>
              <w:t>桥梁隧道工程</w:t>
            </w:r>
            <w:r>
              <w:rPr>
                <w:rFonts w:hint="eastAsia" w:hAnsi="宋体"/>
                <w:color w:val="auto"/>
                <w:sz w:val="21"/>
                <w:szCs w:val="21"/>
                <w:highlight w:val="none"/>
                <w:lang w:val="en-US" w:eastAsia="zh-CN"/>
              </w:rPr>
              <w:t>专项质量</w:t>
            </w:r>
            <w:r>
              <w:rPr>
                <w:rFonts w:hint="eastAsia" w:ascii="宋体" w:hAnsi="宋体"/>
                <w:color w:val="auto"/>
                <w:sz w:val="21"/>
                <w:szCs w:val="21"/>
                <w:highlight w:val="none"/>
              </w:rPr>
              <w:t>检测资质</w:t>
            </w:r>
            <w:r>
              <w:rPr>
                <w:rFonts w:hint="eastAsia" w:hAnsi="宋体"/>
                <w:color w:val="auto"/>
                <w:sz w:val="21"/>
                <w:szCs w:val="21"/>
                <w:highlight w:val="none"/>
                <w:lang w:eastAsia="zh-CN"/>
              </w:rPr>
              <w:t>（</w:t>
            </w:r>
            <w:r>
              <w:rPr>
                <w:rFonts w:hint="eastAsia" w:hAnsi="宋体"/>
                <w:color w:val="auto"/>
                <w:sz w:val="21"/>
                <w:szCs w:val="21"/>
                <w:highlight w:val="none"/>
                <w:lang w:val="en-US" w:eastAsia="zh-CN"/>
              </w:rPr>
              <w:t>或具备交通运输主管部门颁发的</w:t>
            </w:r>
            <w:r>
              <w:rPr>
                <w:rFonts w:hint="eastAsia" w:ascii="宋体" w:hAnsi="宋体"/>
                <w:color w:val="auto"/>
                <w:sz w:val="21"/>
                <w:szCs w:val="21"/>
                <w:highlight w:val="none"/>
              </w:rPr>
              <w:t>公路工程</w:t>
            </w:r>
            <w:r>
              <w:rPr>
                <w:rFonts w:hint="eastAsia" w:hAnsi="宋体"/>
                <w:color w:val="auto"/>
                <w:sz w:val="21"/>
                <w:szCs w:val="21"/>
                <w:highlight w:val="none"/>
                <w:lang w:val="en-US" w:eastAsia="zh-CN"/>
              </w:rPr>
              <w:t>综合甲级</w:t>
            </w:r>
            <w:r>
              <w:rPr>
                <w:rFonts w:hint="eastAsia" w:ascii="宋体" w:hAnsi="宋体"/>
                <w:color w:val="auto"/>
                <w:sz w:val="21"/>
                <w:szCs w:val="21"/>
                <w:highlight w:val="none"/>
              </w:rPr>
              <w:t>试验检测资质</w:t>
            </w:r>
            <w:r>
              <w:rPr>
                <w:rFonts w:hint="eastAsia" w:hAnsi="宋体"/>
                <w:color w:val="auto"/>
                <w:sz w:val="21"/>
                <w:szCs w:val="21"/>
                <w:highlight w:val="none"/>
                <w:lang w:val="en-US" w:eastAsia="zh-CN"/>
              </w:rPr>
              <w:t>和</w:t>
            </w:r>
            <w:r>
              <w:rPr>
                <w:rFonts w:hint="eastAsia" w:ascii="宋体" w:hAnsi="宋体"/>
                <w:color w:val="auto"/>
                <w:sz w:val="21"/>
                <w:szCs w:val="21"/>
                <w:highlight w:val="none"/>
              </w:rPr>
              <w:t>桥梁隧道工程</w:t>
            </w:r>
            <w:r>
              <w:rPr>
                <w:rFonts w:hint="eastAsia" w:hAnsi="宋体"/>
                <w:color w:val="auto"/>
                <w:sz w:val="21"/>
                <w:szCs w:val="21"/>
                <w:highlight w:val="none"/>
                <w:lang w:val="en-US" w:eastAsia="zh-CN"/>
              </w:rPr>
              <w:t>专项</w:t>
            </w:r>
            <w:r>
              <w:rPr>
                <w:rFonts w:hint="eastAsia" w:ascii="宋体" w:hAnsi="宋体"/>
                <w:color w:val="auto"/>
                <w:sz w:val="21"/>
                <w:szCs w:val="21"/>
                <w:highlight w:val="none"/>
              </w:rPr>
              <w:t>试验检测资质</w:t>
            </w:r>
            <w:r>
              <w:rPr>
                <w:rFonts w:hint="eastAsia" w:hAnsi="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1" w:hRule="atLeast"/>
          <w:jc w:val="center"/>
        </w:trPr>
        <w:tc>
          <w:tcPr>
            <w:tcW w:w="9286" w:type="dxa"/>
            <w:noWrap w:val="0"/>
            <w:vAlign w:val="center"/>
          </w:tcPr>
          <w:p>
            <w:pPr>
              <w:pStyle w:val="8"/>
              <w:keepNext w:val="0"/>
              <w:keepLines w:val="0"/>
              <w:pageBreakBefore w:val="0"/>
              <w:widowControl w:val="0"/>
              <w:kinsoku/>
              <w:wordWrap/>
              <w:overflowPunct/>
              <w:topLinePunct w:val="0"/>
              <w:bidi w:val="0"/>
              <w:snapToGrid/>
              <w:spacing w:line="320" w:lineRule="exact"/>
              <w:ind w:right="-168" w:rightChars="-80"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注：</w:t>
            </w:r>
            <w:r>
              <w:rPr>
                <w:rFonts w:hint="eastAsia" w:ascii="宋体" w:hAnsi="宋体" w:eastAsia="宋体" w:cs="宋体"/>
                <w:color w:val="auto"/>
                <w:sz w:val="21"/>
                <w:szCs w:val="21"/>
                <w:highlight w:val="none"/>
              </w:rPr>
              <w:t>本项目接受联合体形式投标，联合体所有成员数量不</w:t>
            </w:r>
            <w:r>
              <w:rPr>
                <w:rFonts w:hint="eastAsia" w:hAnsi="宋体" w:cs="宋体"/>
                <w:color w:val="auto"/>
                <w:sz w:val="21"/>
                <w:szCs w:val="21"/>
                <w:highlight w:val="none"/>
                <w:lang w:val="en-US" w:eastAsia="zh-CN"/>
              </w:rPr>
              <w:t>得超过3</w:t>
            </w:r>
            <w:r>
              <w:rPr>
                <w:rFonts w:hint="eastAsia" w:ascii="宋体" w:hAnsi="宋体" w:eastAsia="宋体" w:cs="宋体"/>
                <w:color w:val="auto"/>
                <w:sz w:val="21"/>
                <w:szCs w:val="21"/>
                <w:highlight w:val="none"/>
              </w:rPr>
              <w:t>家，联合体应满足本项规定的资格条件，联合体所有成员均需满足第1项要求</w:t>
            </w:r>
            <w:r>
              <w:rPr>
                <w:rFonts w:hint="eastAsia" w:hAnsi="宋体" w:cs="宋体"/>
                <w:color w:val="auto"/>
                <w:sz w:val="21"/>
                <w:szCs w:val="21"/>
                <w:highlight w:val="none"/>
                <w:lang w:eastAsia="zh-CN"/>
              </w:rPr>
              <w:t>。</w:t>
            </w:r>
          </w:p>
        </w:tc>
      </w:tr>
    </w:tbl>
    <w:p>
      <w:pPr>
        <w:adjustRightInd w:val="0"/>
        <w:spacing w:line="400" w:lineRule="exact"/>
        <w:jc w:val="center"/>
        <w:rPr>
          <w:rFonts w:hint="eastAsia" w:ascii="宋体" w:hAnsi="宋体" w:eastAsia="宋体" w:cs="宋体"/>
          <w:b/>
          <w:color w:val="auto"/>
          <w:sz w:val="24"/>
          <w:szCs w:val="24"/>
          <w:highlight w:val="none"/>
        </w:rPr>
      </w:pPr>
    </w:p>
    <w:p>
      <w:pPr>
        <w:adjustRightInd w:val="0"/>
        <w:spacing w:line="400" w:lineRule="exact"/>
        <w:jc w:val="center"/>
        <w:rPr>
          <w:rFonts w:hint="eastAsia" w:ascii="宋体" w:hAnsi="宋体" w:eastAsia="宋体" w:cs="宋体"/>
          <w:b/>
          <w:color w:val="auto"/>
          <w:sz w:val="24"/>
          <w:szCs w:val="24"/>
          <w:highlight w:val="none"/>
        </w:rPr>
      </w:pPr>
    </w:p>
    <w:p>
      <w:pPr>
        <w:adjustRightInd w:val="0"/>
        <w:spacing w:line="400" w:lineRule="exact"/>
        <w:jc w:val="center"/>
        <w:rPr>
          <w:rFonts w:hint="eastAsia" w:ascii="宋体" w:hAnsi="宋体" w:eastAsia="宋体" w:cs="宋体"/>
          <w:b/>
          <w:color w:val="auto"/>
          <w:sz w:val="24"/>
          <w:szCs w:val="24"/>
          <w:highlight w:val="none"/>
        </w:rPr>
      </w:pPr>
    </w:p>
    <w:p>
      <w:pPr>
        <w:adjustRightIn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附录2 资格审查条件（业绩最低要求）</w:t>
      </w:r>
    </w:p>
    <w:tbl>
      <w:tblPr>
        <w:tblStyle w:val="6"/>
        <w:tblW w:w="928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9286" w:type="dxa"/>
            <w:noWrap w:val="0"/>
            <w:vAlign w:val="center"/>
          </w:tcPr>
          <w:p>
            <w:pPr>
              <w:pStyle w:val="5"/>
              <w:spacing w:before="0" w:beforeAutospacing="0" w:after="0" w:afterAutospacing="0" w:line="240" w:lineRule="auto"/>
              <w:ind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业绩要求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9286"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sz w:val="21"/>
                <w:szCs w:val="21"/>
                <w:highlight w:val="none"/>
                <w:lang w:eastAsia="zh-CN"/>
              </w:rPr>
              <w:t>近5年(20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月1日至投标截止时间，以合同签订时间为准），至少</w:t>
            </w:r>
            <w:r>
              <w:rPr>
                <w:rFonts w:hint="eastAsia" w:ascii="宋体" w:hAnsi="宋体" w:eastAsia="宋体" w:cs="宋体"/>
                <w:color w:val="auto"/>
                <w:sz w:val="21"/>
                <w:szCs w:val="21"/>
                <w:highlight w:val="none"/>
                <w:lang w:val="en-US" w:eastAsia="zh-CN"/>
              </w:rPr>
              <w:t>承揽过 1项高速公路基础设施(含路基边坡)监测项目业绩</w:t>
            </w:r>
            <w:r>
              <w:rPr>
                <w:rFonts w:hint="eastAsia" w:ascii="宋体" w:hAnsi="宋体" w:eastAsia="宋体" w:cs="宋体"/>
                <w:color w:val="auto"/>
                <w:sz w:val="21"/>
                <w:szCs w:val="21"/>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9286"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hint="eastAsia"/>
                <w:sz w:val="21"/>
                <w:szCs w:val="21"/>
                <w:highlight w:val="none"/>
              </w:rPr>
            </w:pPr>
            <w:r>
              <w:rPr>
                <w:rFonts w:hint="eastAsia" w:hAnsi="宋体" w:cs="宋体"/>
                <w:color w:val="auto"/>
                <w:sz w:val="21"/>
                <w:szCs w:val="21"/>
                <w:highlight w:val="none"/>
                <w:lang w:val="en-US" w:eastAsia="zh-CN"/>
              </w:rPr>
              <w:t>注：</w:t>
            </w:r>
            <w:r>
              <w:rPr>
                <w:rFonts w:hint="eastAsia" w:ascii="宋体" w:hAnsi="宋体" w:eastAsia="宋体" w:cs="宋体"/>
                <w:color w:val="auto"/>
                <w:sz w:val="21"/>
                <w:szCs w:val="21"/>
                <w:highlight w:val="none"/>
                <w:lang w:eastAsia="zh-CN"/>
              </w:rPr>
              <w:t>以联合体形式投标的，联合体应满足本项规定的资格条件。</w:t>
            </w:r>
          </w:p>
        </w:tc>
      </w:tr>
    </w:tbl>
    <w:p>
      <w:pPr>
        <w:pStyle w:val="2"/>
        <w:rPr>
          <w:rFonts w:hint="eastAsia" w:ascii="宋体" w:hAnsi="宋体" w:eastAsia="宋体" w:cs="宋体"/>
          <w:b/>
          <w:color w:val="auto"/>
          <w:sz w:val="24"/>
          <w:highlight w:val="none"/>
        </w:rPr>
      </w:pPr>
    </w:p>
    <w:p>
      <w:pPr>
        <w:adjustRightInd w:val="0"/>
        <w:spacing w:line="400" w:lineRule="exact"/>
        <w:jc w:val="center"/>
        <w:rPr>
          <w:rFonts w:hint="eastAsia" w:ascii="宋体" w:hAnsi="宋体" w:eastAsia="宋体" w:cs="宋体"/>
          <w:b/>
          <w:color w:val="auto"/>
          <w:sz w:val="24"/>
          <w:szCs w:val="24"/>
          <w:highlight w:val="none"/>
        </w:rPr>
      </w:pPr>
    </w:p>
    <w:p>
      <w:pPr>
        <w:adjustRightInd w:val="0"/>
        <w:spacing w:line="400" w:lineRule="exact"/>
        <w:jc w:val="center"/>
        <w:rPr>
          <w:rFonts w:hint="eastAsia" w:ascii="宋体" w:hAnsi="宋体" w:eastAsia="宋体" w:cs="宋体"/>
          <w:b/>
          <w:color w:val="auto"/>
          <w:sz w:val="24"/>
          <w:szCs w:val="24"/>
          <w:highlight w:val="none"/>
        </w:rPr>
      </w:pPr>
    </w:p>
    <w:p>
      <w:pPr>
        <w:adjustRightIn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附录3 资格审查条件（信誉最低要求）</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9286" w:type="dxa"/>
            <w:noWrap w:val="0"/>
            <w:vAlign w:val="center"/>
          </w:tcPr>
          <w:p>
            <w:pPr>
              <w:pStyle w:val="5"/>
              <w:spacing w:before="0" w:beforeAutospacing="0" w:after="0" w:afterAutospacing="0" w:line="240" w:lineRule="auto"/>
              <w:ind w:firstLine="0"/>
              <w:contextualSpacing/>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信誉要求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2" w:hRule="atLeast"/>
          <w:jc w:val="center"/>
        </w:trPr>
        <w:tc>
          <w:tcPr>
            <w:tcW w:w="9286"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hint="eastAsia"/>
                <w:color w:val="auto"/>
                <w:highlight w:val="none"/>
              </w:rPr>
            </w:pPr>
            <w:r>
              <w:rPr>
                <w:rFonts w:hint="eastAsia" w:ascii="宋体" w:hAnsi="宋体" w:eastAsia="宋体" w:cs="宋体"/>
                <w:color w:val="auto"/>
                <w:sz w:val="21"/>
                <w:szCs w:val="21"/>
                <w:highlight w:val="none"/>
                <w:lang w:eastAsia="zh-CN"/>
              </w:rPr>
              <w:t>投标人在过去1年中（202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年</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月1日至投标截止时间）不曾在</w:t>
            </w:r>
            <w:r>
              <w:rPr>
                <w:rFonts w:hint="eastAsia" w:ascii="宋体" w:hAnsi="宋体" w:eastAsia="宋体" w:cs="宋体"/>
                <w:color w:val="auto"/>
                <w:sz w:val="21"/>
                <w:szCs w:val="21"/>
                <w:highlight w:val="none"/>
                <w:lang w:val="en-US" w:eastAsia="zh-CN"/>
              </w:rPr>
              <w:t>高速公路基础设施(含路基边坡）监测项目</w:t>
            </w:r>
            <w:r>
              <w:rPr>
                <w:rFonts w:hint="eastAsia" w:ascii="宋体" w:hAnsi="宋体" w:eastAsia="宋体" w:cs="宋体"/>
                <w:color w:val="auto"/>
                <w:sz w:val="21"/>
                <w:szCs w:val="21"/>
                <w:highlight w:val="none"/>
                <w:lang w:eastAsia="zh-CN"/>
              </w:rPr>
              <w:t>合同中违约被驱逐或因投标人自身的原因而使合同被解除。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9286" w:type="dxa"/>
            <w:noWrap w:val="0"/>
            <w:vAlign w:val="center"/>
          </w:tcPr>
          <w:p>
            <w:pPr>
              <w:pStyle w:val="8"/>
              <w:keepNext w:val="0"/>
              <w:keepLines w:val="0"/>
              <w:pageBreakBefore w:val="0"/>
              <w:widowControl w:val="0"/>
              <w:kinsoku/>
              <w:wordWrap/>
              <w:overflowPunct/>
              <w:topLinePunct w:val="0"/>
              <w:autoSpaceDE w:val="0"/>
              <w:autoSpaceDN w:val="0"/>
              <w:bidi w:val="0"/>
              <w:adjustRightInd w:val="0"/>
              <w:snapToGrid/>
              <w:spacing w:line="320" w:lineRule="exact"/>
              <w:ind w:firstLine="420" w:firstLineChars="200"/>
              <w:textAlignment w:val="auto"/>
              <w:rPr>
                <w:rFonts w:hint="eastAsia" w:ascii="宋体" w:hAnsi="宋体" w:eastAsia="宋体" w:cs="宋体"/>
                <w:color w:val="auto"/>
                <w:sz w:val="21"/>
                <w:szCs w:val="21"/>
                <w:highlight w:val="none"/>
                <w:lang w:eastAsia="zh-CN"/>
              </w:rPr>
            </w:pPr>
            <w:r>
              <w:rPr>
                <w:rFonts w:hint="eastAsia" w:hAnsi="宋体" w:cs="宋体"/>
                <w:color w:val="auto"/>
                <w:sz w:val="21"/>
                <w:szCs w:val="21"/>
                <w:highlight w:val="none"/>
                <w:lang w:val="en-US" w:eastAsia="zh-CN"/>
              </w:rPr>
              <w:t>注：</w:t>
            </w:r>
            <w:r>
              <w:rPr>
                <w:rFonts w:hint="eastAsia" w:ascii="宋体" w:hAnsi="宋体" w:eastAsia="宋体" w:cs="宋体"/>
                <w:color w:val="auto"/>
                <w:sz w:val="21"/>
                <w:szCs w:val="21"/>
                <w:highlight w:val="none"/>
                <w:lang w:eastAsia="zh-CN"/>
              </w:rPr>
              <w:t>以联合体形式投标的，联合体</w:t>
            </w:r>
            <w:r>
              <w:rPr>
                <w:rFonts w:hint="eastAsia" w:hAnsi="宋体" w:cs="宋体"/>
                <w:color w:val="auto"/>
                <w:sz w:val="21"/>
                <w:szCs w:val="21"/>
                <w:highlight w:val="none"/>
                <w:lang w:val="en-US" w:eastAsia="zh-CN"/>
              </w:rPr>
              <w:t>各</w:t>
            </w:r>
            <w:r>
              <w:rPr>
                <w:rFonts w:hint="eastAsia" w:ascii="宋体" w:hAnsi="宋体" w:eastAsia="宋体" w:cs="宋体"/>
                <w:color w:val="auto"/>
                <w:sz w:val="21"/>
                <w:szCs w:val="21"/>
                <w:highlight w:val="none"/>
                <w:lang w:eastAsia="zh-CN"/>
              </w:rPr>
              <w:t>成员均应满足本项规定的资格条件</w:t>
            </w:r>
          </w:p>
        </w:tc>
      </w:tr>
    </w:tbl>
    <w:p>
      <w:pPr>
        <w:adjustRightInd w:val="0"/>
        <w:spacing w:line="400" w:lineRule="exact"/>
        <w:jc w:val="center"/>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pPr>
        <w:adjustRightInd w:val="0"/>
        <w:spacing w:line="40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附录4 资格审查条件（</w:t>
      </w:r>
      <w:r>
        <w:rPr>
          <w:rFonts w:hint="eastAsia" w:ascii="宋体" w:hAnsi="宋体" w:cs="宋体"/>
          <w:b/>
          <w:color w:val="auto"/>
          <w:sz w:val="24"/>
          <w:szCs w:val="24"/>
          <w:highlight w:val="none"/>
          <w:lang w:val="en-US" w:eastAsia="zh-CN"/>
        </w:rPr>
        <w:t>项目负责人和技术负责人</w:t>
      </w:r>
      <w:r>
        <w:rPr>
          <w:rFonts w:hint="eastAsia" w:ascii="宋体" w:hAnsi="宋体" w:eastAsia="宋体" w:cs="宋体"/>
          <w:b/>
          <w:color w:val="auto"/>
          <w:sz w:val="24"/>
          <w:szCs w:val="24"/>
          <w:highlight w:val="none"/>
        </w:rPr>
        <w:t>最低要求）</w:t>
      </w:r>
    </w:p>
    <w:tbl>
      <w:tblPr>
        <w:tblStyle w:val="6"/>
        <w:tblW w:w="527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4"/>
        <w:gridCol w:w="916"/>
        <w:gridCol w:w="6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881" w:type="pct"/>
            <w:noWrap w:val="0"/>
            <w:vAlign w:val="center"/>
          </w:tcPr>
          <w:p>
            <w:pPr>
              <w:pStyle w:val="5"/>
              <w:adjustRightInd w:val="0"/>
              <w:snapToGrid w:val="0"/>
              <w:spacing w:before="0" w:beforeAutospacing="0" w:after="0" w:afterAutospacing="0" w:line="240" w:lineRule="auto"/>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人员</w:t>
            </w:r>
          </w:p>
        </w:tc>
        <w:tc>
          <w:tcPr>
            <w:tcW w:w="509" w:type="pct"/>
            <w:noWrap w:val="0"/>
            <w:vAlign w:val="center"/>
          </w:tcPr>
          <w:p>
            <w:pPr>
              <w:pStyle w:val="5"/>
              <w:adjustRightInd w:val="0"/>
              <w:snapToGrid w:val="0"/>
              <w:spacing w:before="0" w:beforeAutospacing="0" w:after="0" w:afterAutospacing="0" w:line="240" w:lineRule="auto"/>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p>
        </w:tc>
        <w:tc>
          <w:tcPr>
            <w:tcW w:w="3608" w:type="pct"/>
            <w:noWrap w:val="0"/>
            <w:vAlign w:val="center"/>
          </w:tcPr>
          <w:p>
            <w:pPr>
              <w:pStyle w:val="5"/>
              <w:adjustRightInd w:val="0"/>
              <w:snapToGrid w:val="0"/>
              <w:spacing w:before="0" w:beforeAutospacing="0" w:after="0" w:afterAutospacing="0" w:line="240" w:lineRule="auto"/>
              <w:ind w:firstLine="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jc w:val="center"/>
        </w:trPr>
        <w:tc>
          <w:tcPr>
            <w:tcW w:w="1663" w:type="dxa"/>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Cs w:val="21"/>
                <w:highlight w:val="none"/>
              </w:rPr>
              <w:t>项目负责人</w:t>
            </w:r>
          </w:p>
        </w:tc>
        <w:tc>
          <w:tcPr>
            <w:tcW w:w="962" w:type="dxa"/>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Cs w:val="21"/>
                <w:highlight w:val="none"/>
              </w:rPr>
              <w:t>1</w:t>
            </w:r>
          </w:p>
        </w:tc>
        <w:tc>
          <w:tcPr>
            <w:tcW w:w="6816" w:type="dxa"/>
            <w:noWrap w:val="0"/>
            <w:vAlign w:val="center"/>
          </w:tcPr>
          <w:p>
            <w:pPr>
              <w:snapToGrid w:val="0"/>
              <w:spacing w:line="36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中级或以上技术职称</w:t>
            </w:r>
          </w:p>
          <w:p>
            <w:pPr>
              <w:snapToGrid w:val="0"/>
              <w:spacing w:line="36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近5年（2020年1月1日至投标截止时间，以合同签订时间为准）至少担任过1项高速公路基础设施(含路基边坡)监测项目的项目负责人。</w:t>
            </w:r>
          </w:p>
          <w:p>
            <w:pPr>
              <w:snapToGrid w:val="0"/>
              <w:spacing w:line="36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以联合体形式投标的，项目负责人应由联合体牵头单位委派。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0" w:hRule="atLeast"/>
          <w:jc w:val="center"/>
        </w:trPr>
        <w:tc>
          <w:tcPr>
            <w:tcW w:w="1663" w:type="dxa"/>
            <w:noWrap w:val="0"/>
            <w:vAlign w:val="center"/>
          </w:tcPr>
          <w:p>
            <w:pPr>
              <w:jc w:val="center"/>
              <w:rPr>
                <w:rFonts w:hint="eastAsia" w:ascii="宋体" w:hAnsi="宋体" w:eastAsia="宋体" w:cs="宋体"/>
                <w:color w:val="auto"/>
                <w:sz w:val="21"/>
                <w:szCs w:val="21"/>
                <w:highlight w:val="none"/>
              </w:rPr>
            </w:pPr>
            <w:r>
              <w:rPr>
                <w:rFonts w:hint="eastAsia" w:ascii="宋体" w:hAnsi="宋体"/>
                <w:color w:val="auto"/>
                <w:szCs w:val="21"/>
                <w:highlight w:val="none"/>
              </w:rPr>
              <w:t>技术负责人</w:t>
            </w:r>
          </w:p>
        </w:tc>
        <w:tc>
          <w:tcPr>
            <w:tcW w:w="962" w:type="dxa"/>
            <w:noWrap w:val="0"/>
            <w:vAlign w:val="center"/>
          </w:tcPr>
          <w:p>
            <w:pPr>
              <w:jc w:val="center"/>
              <w:rPr>
                <w:rFonts w:hint="eastAsia" w:ascii="宋体" w:hAnsi="宋体" w:eastAsia="宋体" w:cs="宋体"/>
                <w:color w:val="auto"/>
                <w:sz w:val="21"/>
                <w:szCs w:val="21"/>
                <w:highlight w:val="none"/>
              </w:rPr>
            </w:pPr>
            <w:r>
              <w:rPr>
                <w:rFonts w:hint="eastAsia"/>
                <w:color w:val="auto"/>
                <w:szCs w:val="21"/>
                <w:highlight w:val="none"/>
                <w:lang w:val="en-US" w:eastAsia="zh-CN"/>
              </w:rPr>
              <w:t>1</w:t>
            </w:r>
          </w:p>
        </w:tc>
        <w:tc>
          <w:tcPr>
            <w:tcW w:w="6816" w:type="dxa"/>
            <w:noWrap w:val="0"/>
            <w:vAlign w:val="center"/>
          </w:tcPr>
          <w:p>
            <w:pPr>
              <w:snapToGrid w:val="0"/>
              <w:spacing w:line="36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高级或以上技术职称</w:t>
            </w:r>
          </w:p>
          <w:p>
            <w:pPr>
              <w:snapToGrid w:val="0"/>
              <w:spacing w:line="36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具有交通运输部工程质量监督局颁发的试验检测工程师资格证书，或交通运输部职业资格中心颁发的公路水运工程试验检测师资格证书；且在“公路水运工程质量检测管理信息系统（https://www.ttiis.cn）”中进行登记，注册证书的注册单位须与投标人单位名称一致。</w:t>
            </w:r>
          </w:p>
          <w:p>
            <w:pPr>
              <w:snapToGrid w:val="0"/>
              <w:spacing w:line="360" w:lineRule="exact"/>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近5年（2020年1月1日至投标截止时间，以合同签订时间为准），至少担任过1项高速公路基础设施(含路基边坡)监测项目的技术负责人（或项目负责人）。</w:t>
            </w:r>
          </w:p>
        </w:tc>
      </w:tr>
    </w:tbl>
    <w:p>
      <w:pPr>
        <w:jc w:val="center"/>
        <w:rPr>
          <w:rFonts w:hint="eastAsia" w:ascii="宋体" w:hAnsi="宋体"/>
          <w:b/>
          <w:sz w:val="24"/>
          <w:szCs w:val="24"/>
          <w:highlight w:val="none"/>
        </w:rPr>
      </w:pPr>
    </w:p>
    <w:p>
      <w:pPr>
        <w:pStyle w:val="3"/>
        <w:snapToGrid w:val="0"/>
        <w:spacing w:beforeLines="50" w:afterLines="50" w:line="240" w:lineRule="auto"/>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br w:type="page"/>
      </w:r>
      <w:bookmarkStart w:id="1" w:name="_Toc141780407"/>
      <w:r>
        <w:rPr>
          <w:rFonts w:hint="eastAsia" w:ascii="宋体" w:hAnsi="宋体" w:eastAsia="宋体" w:cs="宋体"/>
          <w:color w:val="auto"/>
          <w:sz w:val="24"/>
          <w:szCs w:val="24"/>
          <w:highlight w:val="none"/>
        </w:rPr>
        <w:t>附件2：评标办法</w:t>
      </w:r>
      <w:bookmarkEnd w:id="1"/>
    </w:p>
    <w:p>
      <w:pPr>
        <w:pStyle w:val="3"/>
        <w:snapToGrid w:val="0"/>
        <w:spacing w:before="120" w:after="120" w:line="240" w:lineRule="auto"/>
        <w:jc w:val="center"/>
        <w:rPr>
          <w:rFonts w:hint="eastAsia" w:ascii="宋体" w:hAnsi="宋体" w:eastAsia="宋体" w:cs="宋体"/>
          <w:color w:val="auto"/>
          <w:sz w:val="24"/>
          <w:szCs w:val="24"/>
          <w:highlight w:val="none"/>
        </w:rPr>
      </w:pPr>
      <w:bookmarkStart w:id="2" w:name="_Toc65857110"/>
      <w:bookmarkStart w:id="3" w:name="_Toc65820978"/>
      <w:bookmarkStart w:id="4" w:name="_Toc141780408"/>
      <w:bookmarkStart w:id="5" w:name="_Toc138793770"/>
      <w:bookmarkStart w:id="6" w:name="_Toc66984522"/>
      <w:bookmarkStart w:id="7" w:name="_Toc66337244"/>
      <w:r>
        <w:rPr>
          <w:rFonts w:hint="eastAsia" w:ascii="宋体" w:hAnsi="宋体" w:eastAsia="宋体" w:cs="宋体"/>
          <w:color w:val="auto"/>
          <w:sz w:val="24"/>
          <w:szCs w:val="24"/>
          <w:highlight w:val="none"/>
        </w:rPr>
        <w:t>评标办法前附表</w:t>
      </w:r>
      <w:bookmarkEnd w:id="2"/>
      <w:bookmarkEnd w:id="3"/>
      <w:bookmarkEnd w:id="4"/>
      <w:bookmarkEnd w:id="5"/>
      <w:bookmarkEnd w:id="6"/>
      <w:bookmarkEnd w:id="7"/>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142"/>
        <w:gridCol w:w="663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blHeader/>
        </w:trPr>
        <w:tc>
          <w:tcPr>
            <w:tcW w:w="1098" w:type="pct"/>
            <w:gridSpan w:val="2"/>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3901" w:type="pct"/>
            <w:gridSpan w:val="2"/>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90"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评标方法</w:t>
            </w:r>
          </w:p>
        </w:tc>
        <w:tc>
          <w:tcPr>
            <w:tcW w:w="3895" w:type="pct"/>
            <w:vAlign w:val="center"/>
          </w:tcPr>
          <w:p>
            <w:pPr>
              <w:keepNext w:val="0"/>
              <w:keepLines w:val="0"/>
              <w:pageBreakBefore w:val="0"/>
              <w:widowControl w:val="0"/>
              <w:kinsoku/>
              <w:wordWrap/>
              <w:overflowPunct/>
              <w:topLinePunct w:val="0"/>
              <w:bidi w:val="0"/>
              <w:snapToGrid w:val="0"/>
              <w:spacing w:line="320" w:lineRule="exact"/>
              <w:ind w:firstLine="404" w:firstLineChars="200"/>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本次评标采用综合评估法，评标委员会对满足招标文件实质性要求的投标文件，按照本章第2.2款规定的评分标准进行打分，并按得分由高到低顺序推荐1-3名中标候选人。当综合评分相等时，评标委员会依次按照以下优先顺序推荐中标候选人：</w:t>
            </w:r>
          </w:p>
          <w:p>
            <w:pPr>
              <w:keepNext w:val="0"/>
              <w:keepLines w:val="0"/>
              <w:pageBreakBefore w:val="0"/>
              <w:widowControl w:val="0"/>
              <w:kinsoku/>
              <w:wordWrap/>
              <w:overflowPunct/>
              <w:topLinePunct w:val="0"/>
              <w:bidi w:val="0"/>
              <w:snapToGrid w:val="0"/>
              <w:spacing w:line="320" w:lineRule="exact"/>
              <w:ind w:left="205" w:leftChars="97" w:hanging="1"/>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（1）评标价低的投标人优先；</w:t>
            </w:r>
          </w:p>
          <w:p>
            <w:pPr>
              <w:keepNext w:val="0"/>
              <w:keepLines w:val="0"/>
              <w:pageBreakBefore w:val="0"/>
              <w:widowControl w:val="0"/>
              <w:kinsoku/>
              <w:wordWrap/>
              <w:overflowPunct/>
              <w:topLinePunct w:val="0"/>
              <w:bidi w:val="0"/>
              <w:snapToGrid w:val="0"/>
              <w:spacing w:line="320" w:lineRule="exact"/>
              <w:ind w:left="205" w:leftChars="97" w:hanging="1"/>
              <w:jc w:val="left"/>
              <w:textAlignment w:val="auto"/>
              <w:rPr>
                <w:rFonts w:hint="eastAsia" w:ascii="宋体" w:hAnsi="宋体" w:eastAsia="宋体" w:cs="宋体"/>
                <w:color w:val="auto"/>
                <w:spacing w:val="-4"/>
                <w:sz w:val="21"/>
                <w:szCs w:val="21"/>
                <w:highlight w:val="none"/>
              </w:rPr>
            </w:pPr>
            <w:r>
              <w:rPr>
                <w:rFonts w:hint="eastAsia" w:ascii="宋体" w:hAnsi="宋体" w:eastAsia="宋体" w:cs="宋体"/>
                <w:color w:val="auto"/>
                <w:spacing w:val="-4"/>
                <w:sz w:val="21"/>
                <w:szCs w:val="21"/>
                <w:highlight w:val="none"/>
              </w:rPr>
              <w:t>（2）实施方案得分较高的投标人优先；</w:t>
            </w:r>
          </w:p>
          <w:p>
            <w:pPr>
              <w:keepNext w:val="0"/>
              <w:keepLines w:val="0"/>
              <w:pageBreakBefore w:val="0"/>
              <w:widowControl w:val="0"/>
              <w:kinsoku/>
              <w:wordWrap/>
              <w:overflowPunct/>
              <w:topLinePunct w:val="0"/>
              <w:autoSpaceDE/>
              <w:autoSpaceDN/>
              <w:bidi w:val="0"/>
              <w:adjustRightInd/>
              <w:snapToGrid w:val="0"/>
              <w:spacing w:line="320" w:lineRule="exact"/>
              <w:ind w:firstLine="202" w:firstLineChars="1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 w:val="21"/>
                <w:szCs w:val="21"/>
                <w:highlight w:val="none"/>
              </w:rPr>
              <w:t>（3）投标人满足资格审查条件（业绩最低条件）要求的业绩金额累计较高的优先。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90"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2.1.3</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形式评审与响应性评审标准</w:t>
            </w:r>
          </w:p>
        </w:tc>
        <w:tc>
          <w:tcPr>
            <w:tcW w:w="3895" w:type="pct"/>
            <w:vAlign w:val="top"/>
          </w:tcPr>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第一个信封（商务及技术文件）评审标准：</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（1）投标文件按照招标文件规定的格式、内容填写，字迹清晰可辨：</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a.投标函按招标文件规定填报了</w:t>
            </w:r>
            <w:r>
              <w:rPr>
                <w:rFonts w:hint="eastAsia" w:ascii="宋体" w:hAnsi="宋体" w:eastAsia="宋体" w:cs="宋体"/>
                <w:bCs/>
                <w:color w:val="auto"/>
                <w:sz w:val="21"/>
                <w:szCs w:val="21"/>
                <w:highlight w:val="none"/>
                <w:lang w:val="en-US" w:eastAsia="zh-CN"/>
              </w:rPr>
              <w:t>项目名称、</w:t>
            </w:r>
            <w:r>
              <w:rPr>
                <w:rFonts w:hint="eastAsia" w:ascii="宋体" w:hAnsi="宋体" w:eastAsia="宋体" w:cs="宋体"/>
                <w:bCs/>
                <w:color w:val="auto"/>
                <w:sz w:val="21"/>
                <w:szCs w:val="21"/>
                <w:highlight w:val="none"/>
              </w:rPr>
              <w:t>补遗书编号（如有）、</w:t>
            </w:r>
            <w:r>
              <w:rPr>
                <w:rFonts w:hint="eastAsia" w:ascii="宋体" w:hAnsi="宋体" w:eastAsia="宋体" w:cs="宋体"/>
                <w:color w:val="auto"/>
                <w:sz w:val="21"/>
                <w:szCs w:val="21"/>
                <w:highlight w:val="none"/>
              </w:rPr>
              <w:t>项目负责人</w:t>
            </w:r>
            <w:r>
              <w:rPr>
                <w:rFonts w:hint="eastAsia" w:ascii="宋体" w:hAnsi="宋体" w:cs="宋体"/>
                <w:color w:val="auto"/>
                <w:sz w:val="21"/>
                <w:szCs w:val="21"/>
                <w:highlight w:val="none"/>
                <w:lang w:val="en-US" w:eastAsia="zh-CN"/>
              </w:rPr>
              <w:t>和技术负责人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服务期限</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质量要求、安全目标</w:t>
            </w:r>
            <w:r>
              <w:rPr>
                <w:rFonts w:hint="eastAsia" w:ascii="宋体" w:hAnsi="宋体" w:eastAsia="宋体" w:cs="宋体"/>
                <w:bCs/>
                <w:color w:val="auto"/>
                <w:sz w:val="21"/>
                <w:szCs w:val="21"/>
                <w:highlight w:val="none"/>
              </w:rPr>
              <w:t>；</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b.投标文件组成齐全完整，内容均按规定填写。</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（2）投标文件上法定代表人或其授权代理人的签字、投标人的单位章盖章齐全，符合招标文件规定。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（3）投标人按照招标文件的规定提供了投标保证金，并符合投标人须知前附表3.4.1项的相关规定。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（4）投标人法定代表人授权委托代理人签署投标文件的，须提交授权委托书，</w:t>
            </w:r>
            <w:r>
              <w:rPr>
                <w:rFonts w:hint="eastAsia" w:ascii="宋体" w:hAnsi="宋体" w:eastAsia="宋体" w:cs="宋体"/>
                <w:color w:val="auto"/>
                <w:sz w:val="21"/>
                <w:szCs w:val="21"/>
                <w:highlight w:val="none"/>
                <w:lang w:val="en-US" w:eastAsia="zh-CN"/>
              </w:rPr>
              <w:t>授权委托书的签字盖章符合招标文件规定</w:t>
            </w:r>
            <w:r>
              <w:rPr>
                <w:rFonts w:hint="eastAsia" w:ascii="宋体" w:hAnsi="宋体" w:eastAsia="宋体" w:cs="宋体"/>
                <w:color w:val="auto"/>
                <w:sz w:val="21"/>
                <w:szCs w:val="21"/>
                <w:highlight w:val="none"/>
                <w:lang w:eastAsia="zh-CN"/>
              </w:rPr>
              <w:t>。</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（5）投标人法定代表人亲自签署投标文件的，提供了法定代表人身份证明，并符合招标文件的规定。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sz w:val="21"/>
                <w:szCs w:val="21"/>
                <w:highlight w:val="none"/>
              </w:rPr>
              <w:t>投标人以联合体形式投标时，联合体满足招标文件的要求。投标人按照招标文件提供的格式签订了联合体协议书，明确各方承担连带责任，并明确了联合体牵头人</w:t>
            </w:r>
            <w:r>
              <w:rPr>
                <w:rFonts w:hint="eastAsia" w:ascii="宋体" w:hAnsi="宋体" w:eastAsia="宋体" w:cs="宋体"/>
                <w:color w:val="auto"/>
                <w:sz w:val="21"/>
                <w:szCs w:val="21"/>
                <w:highlight w:val="none"/>
              </w:rPr>
              <w:t>。</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（7）投标人</w:t>
            </w:r>
            <w:r>
              <w:rPr>
                <w:rFonts w:hint="eastAsia" w:ascii="宋体" w:hAnsi="宋体" w:eastAsia="宋体" w:cs="宋体"/>
                <w:color w:val="auto"/>
                <w:sz w:val="21"/>
                <w:szCs w:val="21"/>
                <w:highlight w:val="none"/>
                <w:lang w:val="en-US" w:eastAsia="zh-CN"/>
              </w:rPr>
              <w:t>未对本项目进行</w:t>
            </w:r>
            <w:r>
              <w:rPr>
                <w:rFonts w:hint="eastAsia" w:ascii="宋体" w:hAnsi="宋体" w:eastAsia="宋体" w:cs="宋体"/>
                <w:color w:val="auto"/>
                <w:sz w:val="21"/>
                <w:szCs w:val="21"/>
                <w:highlight w:val="none"/>
              </w:rPr>
              <w:t>分包。</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（8）同一投标人未提交两个以上不同的投标文件。</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（9）投标文件第一信封中未出现有关投标报价的内容。</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（10）投标文件载明的招标项目完成期限未超过招标文件规定。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（11）投标文件对招标文件的实质性要求和条件作出响应。</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（12）权利义务符合招标文件规定：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a.投标人应接受招标文件规定的风险划分原则，未提出新的风险划分办法；</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b.投标人未增加发包人的责任范围，或减少投标人义务；</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c.投标人未提出不同的支付办法；</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d.投标人对合同纠纷、事故处理办法未提出异议；</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e.投标人在投标活动中无欺诈行为；</w:t>
            </w:r>
          </w:p>
          <w:p>
            <w:pPr>
              <w:keepNext w:val="0"/>
              <w:keepLines w:val="0"/>
              <w:pageBreakBefore w:val="0"/>
              <w:widowControl w:val="0"/>
              <w:tabs>
                <w:tab w:val="left" w:pos="3060"/>
              </w:tabs>
              <w:kinsoku/>
              <w:wordWrap/>
              <w:overflowPunct/>
              <w:topLinePunct w:val="0"/>
              <w:bidi w:val="0"/>
              <w:snapToGrid w:val="0"/>
              <w:spacing w:line="320" w:lineRule="exact"/>
              <w:ind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f.投标人未对合同条款有重要保留。</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第二个信封（报价文件）评审标准：</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（1）投标文件按照招标文件规定的格式、内容填写，字迹清晰可辨，内容齐全完整。</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a.投标函按招标文件规定填报了补遗书编号（如有）、投标价（包括大写金额和小写金额）；</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b．投标文件组成齐全完整，内容均按规定填写。</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（2）投标文件上法定代表人或其授权代理人的签字、投标人的单位章盖章齐全，符合招标文件规定。</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（3）投标报价未超过招标文件设定的最高投标限价。</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（4）投标报价大写金额能够确定具体数值。</w:t>
            </w:r>
          </w:p>
          <w:p>
            <w:pPr>
              <w:keepNext w:val="0"/>
              <w:keepLines w:val="0"/>
              <w:pageBreakBefore w:val="0"/>
              <w:widowControl w:val="0"/>
              <w:tabs>
                <w:tab w:val="left" w:pos="3060"/>
              </w:tabs>
              <w:kinsoku/>
              <w:wordWrap/>
              <w:overflowPunct/>
              <w:topLinePunct w:val="0"/>
              <w:bidi w:val="0"/>
              <w:snapToGrid w:val="0"/>
              <w:spacing w:line="320" w:lineRule="exact"/>
              <w:ind w:firstLine="205" w:firstLineChars="98"/>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（5）同一投标人未提交两个以上不同的投标报价。</w:t>
            </w:r>
          </w:p>
          <w:p>
            <w:pPr>
              <w:pStyle w:val="2"/>
              <w:keepNext w:val="0"/>
              <w:keepLines w:val="0"/>
              <w:pageBreakBefore w:val="0"/>
              <w:widowControl w:val="0"/>
              <w:kinsoku/>
              <w:wordWrap/>
              <w:overflowPunct/>
              <w:topLinePunct w:val="0"/>
              <w:bidi w:val="0"/>
              <w:snapToGrid w:val="0"/>
              <w:spacing w:after="0" w:line="320" w:lineRule="exact"/>
              <w:ind w:firstLine="210" w:firstLineChars="100"/>
              <w:textAlignment w:val="auto"/>
              <w:rPr>
                <w:rFonts w:hint="eastAsia"/>
                <w:highlight w:val="none"/>
              </w:rPr>
            </w:pPr>
            <w:r>
              <w:rPr>
                <w:rFonts w:hint="eastAsia" w:ascii="宋体" w:hAnsi="宋体" w:cs="宋体"/>
                <w:bCs/>
                <w:color w:val="auto"/>
                <w:szCs w:val="21"/>
                <w:highlight w:val="none"/>
              </w:rPr>
              <w:t>（6）</w:t>
            </w:r>
            <w:r>
              <w:rPr>
                <w:rFonts w:hint="eastAsia" w:ascii="宋体" w:hAnsi="宋体" w:cs="宋体"/>
                <w:bCs/>
                <w:color w:val="auto"/>
                <w:szCs w:val="21"/>
                <w:highlight w:val="none"/>
                <w:lang w:val="en-US" w:eastAsia="zh-CN"/>
              </w:rPr>
              <w:t>分项</w:t>
            </w:r>
            <w:r>
              <w:rPr>
                <w:rFonts w:hint="eastAsia" w:ascii="宋体" w:hAnsi="宋体" w:cs="宋体"/>
                <w:bCs/>
                <w:color w:val="auto"/>
                <w:szCs w:val="21"/>
                <w:highlight w:val="none"/>
              </w:rPr>
              <w:t>报价表中投标报价与投标函大写金额一致。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3006"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3895" w:type="pct"/>
            <w:vAlign w:val="top"/>
          </w:tcPr>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（1）投标人具备有效的营业执照副本和组织机构代码证副本（按照“三证合一”或“五证合一”登记制度进行登记的，可仅提供营业执照副本）、资质证书和基本账户开户许可证（或基本存款账户信息）；</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（2）投标人的资质等级符合招标文件规定；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（3）投标人的类似项目业绩符合招标文件规定；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（4）投标人的信誉符合招标文件规定；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（5）投标人的项目负责人</w:t>
            </w:r>
            <w:r>
              <w:rPr>
                <w:rFonts w:hint="eastAsia" w:ascii="宋体" w:hAnsi="宋体" w:cs="宋体"/>
                <w:sz w:val="21"/>
                <w:szCs w:val="21"/>
                <w:highlight w:val="none"/>
                <w:lang w:val="en-US" w:eastAsia="zh-CN"/>
              </w:rPr>
              <w:t>和技术负责人</w:t>
            </w:r>
            <w:r>
              <w:rPr>
                <w:rFonts w:hint="eastAsia" w:ascii="宋体" w:hAnsi="宋体" w:eastAsia="宋体" w:cs="宋体"/>
                <w:sz w:val="21"/>
                <w:szCs w:val="21"/>
                <w:highlight w:val="none"/>
              </w:rPr>
              <w:t>资格符合招标文件规定；</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）投标人不存在第二章“投标人须知”1.4.3项或第1.4.4项规定的任何一种情形。</w:t>
            </w:r>
          </w:p>
          <w:p>
            <w:pPr>
              <w:keepNext w:val="0"/>
              <w:keepLines w:val="0"/>
              <w:pageBreakBefore w:val="0"/>
              <w:widowControl w:val="0"/>
              <w:tabs>
                <w:tab w:val="left" w:pos="3060"/>
              </w:tabs>
              <w:kinsoku/>
              <w:wordWrap/>
              <w:overflowPunct/>
              <w:topLinePunct w:val="0"/>
              <w:bidi w:val="0"/>
              <w:snapToGrid w:val="0"/>
              <w:spacing w:line="320" w:lineRule="exac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szCs w:val="21"/>
                <w:highlight w:val="none"/>
              </w:rPr>
              <w:t>投标人符合第二章“投标人须知”第1.4.5项规定。</w:t>
            </w:r>
          </w:p>
          <w:p>
            <w:pPr>
              <w:pStyle w:val="2"/>
              <w:keepNext w:val="0"/>
              <w:keepLines w:val="0"/>
              <w:pageBreakBefore w:val="0"/>
              <w:widowControl w:val="0"/>
              <w:kinsoku/>
              <w:wordWrap/>
              <w:overflowPunct/>
              <w:topLinePunct w:val="0"/>
              <w:bidi w:val="0"/>
              <w:snapToGrid w:val="0"/>
              <w:spacing w:after="0"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）以联合体形式参与投标的，</w:t>
            </w:r>
            <w:r>
              <w:rPr>
                <w:rFonts w:hint="eastAsia" w:ascii="宋体" w:hAnsi="宋体" w:eastAsia="宋体" w:cs="宋体"/>
                <w:color w:val="auto"/>
                <w:sz w:val="21"/>
                <w:szCs w:val="21"/>
                <w:highlight w:val="none"/>
                <w:lang w:val="en-US" w:eastAsia="zh-CN"/>
              </w:rPr>
              <w:t>应满足</w:t>
            </w:r>
            <w:r>
              <w:rPr>
                <w:rFonts w:hint="eastAsia" w:ascii="宋体" w:hAnsi="宋体" w:eastAsia="宋体" w:cs="宋体"/>
                <w:color w:val="auto"/>
                <w:sz w:val="21"/>
                <w:szCs w:val="21"/>
                <w:highlight w:val="none"/>
              </w:rPr>
              <w:t>第二章“投标人须知”1.4.</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项</w:t>
            </w:r>
            <w:r>
              <w:rPr>
                <w:rFonts w:hint="eastAsia" w:ascii="宋体" w:hAnsi="宋体" w:eastAsia="宋体" w:cs="宋体"/>
                <w:color w:val="auto"/>
                <w:sz w:val="21"/>
                <w:szCs w:val="21"/>
                <w:highlight w:val="none"/>
                <w:lang w:val="en-US" w:eastAsia="zh-CN"/>
              </w:rPr>
              <w:t>的要求</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3895" w:type="pct"/>
            <w:vAlign w:val="center"/>
          </w:tcPr>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第一个信封（商务及技术文件）评分分值构成：</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eastAsia="zh-CN"/>
              </w:rPr>
              <w:t>企业业绩：</w:t>
            </w:r>
            <w:r>
              <w:rPr>
                <w:rFonts w:hint="eastAsia" w:ascii="宋体" w:hAnsi="宋体" w:eastAsia="宋体" w:cs="宋体"/>
                <w:b/>
                <w:color w:val="auto"/>
                <w:sz w:val="21"/>
                <w:szCs w:val="21"/>
                <w:highlight w:val="none"/>
                <w:u w:val="single"/>
                <w:lang w:val="en-US" w:eastAsia="zh-CN"/>
              </w:rPr>
              <w:t>20</w:t>
            </w:r>
            <w:r>
              <w:rPr>
                <w:rFonts w:hint="eastAsia" w:ascii="宋体" w:hAnsi="宋体" w:eastAsia="宋体" w:cs="宋体"/>
                <w:b/>
                <w:color w:val="auto"/>
                <w:sz w:val="21"/>
                <w:szCs w:val="21"/>
                <w:highlight w:val="none"/>
                <w:lang w:val="en-US" w:eastAsia="zh-CN"/>
              </w:rPr>
              <w:t>分</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主要</w:t>
            </w:r>
            <w:r>
              <w:rPr>
                <w:rFonts w:hint="eastAsia" w:ascii="宋体" w:hAnsi="宋体" w:eastAsia="宋体" w:cs="宋体"/>
                <w:b/>
                <w:color w:val="auto"/>
                <w:sz w:val="21"/>
                <w:szCs w:val="21"/>
                <w:highlight w:val="none"/>
                <w:lang w:eastAsia="zh-CN"/>
              </w:rPr>
              <w:t>人员：</w:t>
            </w:r>
            <w:r>
              <w:rPr>
                <w:rFonts w:hint="eastAsia" w:ascii="宋体" w:hAnsi="宋体" w:eastAsia="宋体" w:cs="宋体"/>
                <w:b/>
                <w:color w:val="auto"/>
                <w:sz w:val="21"/>
                <w:szCs w:val="21"/>
                <w:highlight w:val="none"/>
                <w:u w:val="single"/>
                <w:lang w:val="en-US" w:eastAsia="zh-CN"/>
              </w:rPr>
              <w:t>15</w:t>
            </w:r>
            <w:r>
              <w:rPr>
                <w:rFonts w:hint="eastAsia" w:ascii="宋体" w:hAnsi="宋体" w:eastAsia="宋体" w:cs="宋体"/>
                <w:b/>
                <w:color w:val="auto"/>
                <w:sz w:val="21"/>
                <w:szCs w:val="21"/>
                <w:highlight w:val="none"/>
              </w:rPr>
              <w:t>分</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实施方案</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u w:val="single"/>
                <w:lang w:val="en-US" w:eastAsia="zh-CN"/>
              </w:rPr>
              <w:t>35</w:t>
            </w:r>
            <w:r>
              <w:rPr>
                <w:rFonts w:hint="eastAsia" w:ascii="宋体" w:hAnsi="宋体" w:eastAsia="宋体" w:cs="宋体"/>
                <w:b/>
                <w:color w:val="auto"/>
                <w:sz w:val="21"/>
                <w:szCs w:val="21"/>
                <w:highlight w:val="none"/>
              </w:rPr>
              <w:t>分</w:t>
            </w:r>
          </w:p>
          <w:p>
            <w:pPr>
              <w:keepNext w:val="0"/>
              <w:keepLines w:val="0"/>
              <w:pageBreakBefore w:val="0"/>
              <w:widowControl w:val="0"/>
              <w:kinsoku/>
              <w:wordWrap/>
              <w:overflowPunct/>
              <w:topLinePunct w:val="0"/>
              <w:bidi w:val="0"/>
              <w:snapToGrid w:val="0"/>
              <w:spacing w:line="320" w:lineRule="exact"/>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第二个信封（报价文件）评分分值构成：</w:t>
            </w:r>
          </w:p>
          <w:p>
            <w:pPr>
              <w:keepNext w:val="0"/>
              <w:keepLines w:val="0"/>
              <w:pageBreakBefore w:val="0"/>
              <w:widowControl w:val="0"/>
              <w:kinsoku/>
              <w:wordWrap/>
              <w:overflowPunct/>
              <w:topLinePunct w:val="0"/>
              <w:autoSpaceDE/>
              <w:autoSpaceDN/>
              <w:bidi w:val="0"/>
              <w:adjustRightInd/>
              <w:snapToGrid w:val="0"/>
              <w:spacing w:line="320" w:lineRule="exact"/>
              <w:ind w:left="108"/>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评标价：</w:t>
            </w:r>
            <w:r>
              <w:rPr>
                <w:rFonts w:hint="eastAsia" w:ascii="宋体" w:hAnsi="宋体" w:eastAsia="宋体" w:cs="宋体"/>
                <w:b/>
                <w:color w:val="auto"/>
                <w:sz w:val="21"/>
                <w:szCs w:val="21"/>
                <w:highlight w:val="none"/>
                <w:u w:val="single"/>
                <w:lang w:val="en-US" w:eastAsia="zh-CN"/>
              </w:rPr>
              <w:t>3</w:t>
            </w:r>
            <w:r>
              <w:rPr>
                <w:rFonts w:hint="eastAsia" w:ascii="宋体" w:hAnsi="宋体" w:eastAsia="宋体" w:cs="宋体"/>
                <w:b/>
                <w:color w:val="auto"/>
                <w:sz w:val="21"/>
                <w:szCs w:val="21"/>
                <w:highlight w:val="none"/>
                <w:u w:val="single"/>
              </w:rPr>
              <w:t>0</w:t>
            </w:r>
            <w:r>
              <w:rPr>
                <w:rFonts w:hint="eastAsia" w:ascii="宋体" w:hAnsi="宋体" w:eastAsia="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1027"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评标基准价计算方法</w:t>
            </w:r>
          </w:p>
        </w:tc>
        <w:tc>
          <w:tcPr>
            <w:tcW w:w="3895" w:type="pct"/>
            <w:vAlign w:val="center"/>
          </w:tcPr>
          <w:p>
            <w:pPr>
              <w:keepNext w:val="0"/>
              <w:keepLines w:val="0"/>
              <w:pageBreakBefore w:val="0"/>
              <w:widowControl w:val="0"/>
              <w:kinsoku/>
              <w:wordWrap/>
              <w:overflowPunct/>
              <w:topLinePunct w:val="0"/>
              <w:bidi w:val="0"/>
              <w:snapToGrid w:val="0"/>
              <w:spacing w:line="320" w:lineRule="exact"/>
              <w:ind w:right="113"/>
              <w:textAlignment w:val="auto"/>
              <w:rPr>
                <w:rFonts w:hint="eastAsia" w:ascii="宋体" w:hAnsi="宋体"/>
                <w:sz w:val="21"/>
                <w:szCs w:val="21"/>
                <w:highlight w:val="none"/>
              </w:rPr>
            </w:pPr>
            <w:r>
              <w:rPr>
                <w:rFonts w:hint="eastAsia" w:ascii="宋体" w:hAnsi="宋体"/>
                <w:b/>
                <w:bCs/>
                <w:sz w:val="21"/>
                <w:szCs w:val="21"/>
                <w:highlight w:val="none"/>
              </w:rPr>
              <w:t>评标基准价的计算</w:t>
            </w:r>
            <w:r>
              <w:rPr>
                <w:rFonts w:hint="eastAsia" w:ascii="宋体" w:hAnsi="宋体"/>
                <w:sz w:val="21"/>
                <w:szCs w:val="21"/>
                <w:highlight w:val="none"/>
              </w:rPr>
              <w:t>：</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在第二个信封开标现场，招标人当场计算并宣布评标基准价。</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(1)评标价的确定：</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评标价=投标函文字报价</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(2)评标价平均值的计算：</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除按第二章“投标人须知”第5.2.4项规定开标现场被宣布为不进入评标基准价计算的投标报价之外，所有投标人评标价去掉一个最高值和一个最低值后的算术平均值即为评标价平均值（如果参与评标价平均值计算的有效投标人少于5家时，则计算评标价平均值时不去掉最高值和最低值）。</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(3)评标基准价的确定：</w:t>
            </w:r>
          </w:p>
          <w:p>
            <w:pPr>
              <w:keepNext w:val="0"/>
              <w:keepLines w:val="0"/>
              <w:pageBreakBefore w:val="0"/>
              <w:widowControl w:val="0"/>
              <w:kinsoku/>
              <w:wordWrap/>
              <w:overflowPunct/>
              <w:topLinePunct w:val="0"/>
              <w:bidi w:val="0"/>
              <w:snapToGrid w:val="0"/>
              <w:spacing w:line="320" w:lineRule="exact"/>
              <w:ind w:right="113" w:firstLine="426" w:firstLineChars="203"/>
              <w:textAlignment w:val="auto"/>
              <w:rPr>
                <w:rFonts w:hint="eastAsia" w:ascii="宋体" w:hAnsi="宋体"/>
                <w:sz w:val="21"/>
                <w:szCs w:val="21"/>
                <w:highlight w:val="none"/>
              </w:rPr>
            </w:pPr>
            <w:r>
              <w:rPr>
                <w:rFonts w:hint="eastAsia" w:ascii="宋体" w:hAnsi="宋体"/>
                <w:sz w:val="21"/>
                <w:szCs w:val="21"/>
                <w:highlight w:val="none"/>
              </w:rPr>
              <w:t>评标价平均值直接作为评标基准价（评标基准价保留小数点后两位，小数点后第三位四舍五入）。</w:t>
            </w:r>
          </w:p>
          <w:p>
            <w:pPr>
              <w:keepNext w:val="0"/>
              <w:keepLines w:val="0"/>
              <w:pageBreakBefore w:val="0"/>
              <w:widowControl w:val="0"/>
              <w:kinsoku/>
              <w:wordWrap/>
              <w:overflowPunct/>
              <w:topLinePunct w:val="0"/>
              <w:bidi w:val="0"/>
              <w:snapToGrid w:val="0"/>
              <w:spacing w:line="32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w:t>
            </w:r>
          </w:p>
        </w:tc>
        <w:tc>
          <w:tcPr>
            <w:tcW w:w="67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评标价的偏差率计算公式</w:t>
            </w:r>
          </w:p>
        </w:tc>
        <w:tc>
          <w:tcPr>
            <w:tcW w:w="3895" w:type="pct"/>
            <w:vAlign w:val="center"/>
          </w:tcPr>
          <w:p>
            <w:pPr>
              <w:keepNext w:val="0"/>
              <w:keepLines w:val="0"/>
              <w:pageBreakBefore w:val="0"/>
              <w:widowControl w:val="0"/>
              <w:kinsoku/>
              <w:wordWrap/>
              <w:overflowPunct/>
              <w:topLinePunct w:val="0"/>
              <w:bidi w:val="0"/>
              <w:snapToGrid w:val="0"/>
              <w:spacing w:line="32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4535" w:hRule="atLeast"/>
        </w:trPr>
        <w:tc>
          <w:tcPr>
            <w:tcW w:w="424" w:type="pct"/>
            <w:vAlign w:val="center"/>
          </w:tcPr>
          <w:p>
            <w:pPr>
              <w:keepNext w:val="0"/>
              <w:keepLines w:val="0"/>
              <w:pageBreakBefore w:val="0"/>
              <w:widowControl w:val="0"/>
              <w:kinsoku/>
              <w:wordWrap/>
              <w:overflowPunct/>
              <w:topLinePunct w:val="0"/>
              <w:bidi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674" w:type="pct"/>
            <w:vAlign w:val="center"/>
          </w:tcPr>
          <w:p>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信息</w:t>
            </w:r>
          </w:p>
          <w:p>
            <w:pPr>
              <w:keepNext w:val="0"/>
              <w:keepLines w:val="0"/>
              <w:pageBreakBefore w:val="0"/>
              <w:widowControl w:val="0"/>
              <w:kinsoku/>
              <w:wordWrap/>
              <w:overflowPunct/>
              <w:topLinePunct w:val="0"/>
              <w:bidi w:val="0"/>
              <w:adjustRightInd w:val="0"/>
              <w:snapToGrid w:val="0"/>
              <w:spacing w:line="32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w:t>
            </w:r>
          </w:p>
        </w:tc>
        <w:tc>
          <w:tcPr>
            <w:tcW w:w="3895" w:type="pct"/>
            <w:vAlign w:val="center"/>
          </w:tcPr>
          <w:p>
            <w:pPr>
              <w:keepNext w:val="0"/>
              <w:keepLines w:val="0"/>
              <w:pageBreakBefore w:val="0"/>
              <w:widowControl w:val="0"/>
              <w:kinsoku/>
              <w:wordWrap/>
              <w:overflowPunct/>
              <w:topLinePunct w:val="0"/>
              <w:autoSpaceDE w:val="0"/>
              <w:autoSpaceDN w:val="0"/>
              <w:bidi w:val="0"/>
              <w:snapToGrid w:val="0"/>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本款修改为：</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 w:val="21"/>
                <w:szCs w:val="21"/>
                <w:highlight w:val="none"/>
              </w:rPr>
              <w:t>评标委员会对投标人</w:t>
            </w:r>
            <w:r>
              <w:rPr>
                <w:rFonts w:hint="eastAsia" w:ascii="宋体" w:hAnsi="宋体" w:cs="宋体"/>
                <w:sz w:val="21"/>
                <w:szCs w:val="21"/>
                <w:highlight w:val="none"/>
                <w:lang w:val="en-US" w:eastAsia="zh-CN"/>
              </w:rPr>
              <w:t>以下</w:t>
            </w:r>
            <w:r>
              <w:rPr>
                <w:rFonts w:hint="eastAsia" w:ascii="宋体" w:hAnsi="宋体" w:eastAsia="宋体" w:cs="宋体"/>
                <w:sz w:val="21"/>
                <w:szCs w:val="21"/>
                <w:highlight w:val="none"/>
              </w:rPr>
              <w:t>信息进行网上查询</w:t>
            </w:r>
            <w:r>
              <w:rPr>
                <w:rFonts w:hint="eastAsia" w:ascii="宋体" w:hAnsi="宋体" w:cs="宋体"/>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r>
              <w:rPr>
                <w:rFonts w:hint="eastAsia" w:ascii="宋体" w:hAnsi="宋体"/>
                <w:highlight w:val="none"/>
              </w:rPr>
              <w:t>投标人名称和资质与“公路水运工程质量检测管理信息系统（https://www.ttiis.cn）”的复核结果一致</w:t>
            </w:r>
            <w:r>
              <w:rPr>
                <w:rFonts w:hint="eastAsia" w:ascii="宋体" w:hAnsi="宋体"/>
                <w:highlight w:val="none"/>
                <w:lang w:eastAsia="zh-CN"/>
              </w:rPr>
              <w:t>（仅适用于具有公路工程质量检测机构资质或试验检测机构资质的单位）；</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highlight w:val="none"/>
              </w:rPr>
              <w:t>投标人名称和资质与</w:t>
            </w:r>
            <w:r>
              <w:rPr>
                <w:rFonts w:hint="eastAsia" w:ascii="宋体" w:hAnsi="宋体" w:cs="宋体"/>
                <w:color w:val="auto"/>
                <w:sz w:val="21"/>
                <w:szCs w:val="21"/>
                <w:highlight w:val="none"/>
                <w:lang w:val="en-US" w:eastAsia="zh-CN"/>
              </w:rPr>
              <w:t>交通运输部“全国公路建设市场监督管理查询系统（https://hwdms.mot.gov.cn/BMWebSite/）”</w:t>
            </w:r>
            <w:r>
              <w:rPr>
                <w:rFonts w:hint="eastAsia" w:ascii="宋体" w:hAnsi="宋体"/>
                <w:highlight w:val="none"/>
              </w:rPr>
              <w:t>的复核结果一致</w:t>
            </w:r>
            <w:r>
              <w:rPr>
                <w:rFonts w:hint="eastAsia" w:ascii="宋体" w:hAnsi="宋体"/>
                <w:highlight w:val="none"/>
                <w:lang w:eastAsia="zh-CN"/>
              </w:rPr>
              <w:t>（仅适用于具有工程设计公路行业甲级资质的单位）；</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投标人信用情况网页截图内容与“国家企业信用信息公示系统”中严重违法失信名单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黑名单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（不含分公司</w:t>
            </w:r>
            <w:r>
              <w:rPr>
                <w:rFonts w:hint="eastAsia" w:ascii="宋体" w:hAnsi="宋体" w:cs="宋体"/>
                <w:color w:val="auto"/>
                <w:sz w:val="21"/>
                <w:szCs w:val="21"/>
                <w:highlight w:val="none"/>
                <w:lang w:val="en-US" w:eastAsia="zh-CN"/>
              </w:rPr>
              <w:t>、不适用于事业单位</w:t>
            </w:r>
            <w:r>
              <w:rPr>
                <w:rFonts w:hint="eastAsia" w:ascii="宋体" w:hAnsi="宋体" w:eastAsia="宋体" w:cs="宋体"/>
                <w:color w:val="auto"/>
                <w:sz w:val="21"/>
                <w:szCs w:val="21"/>
                <w:highlight w:val="none"/>
              </w:rPr>
              <w:t>）或“信用中国”网站中失信被执行人名单、经营异常名录、重大税收违法失信主体名单、</w:t>
            </w:r>
            <w:r>
              <w:rPr>
                <w:rFonts w:hint="eastAsia" w:ascii="宋体" w:hAnsi="宋体" w:eastAsia="宋体" w:cs="宋体"/>
                <w:color w:val="auto"/>
                <w:sz w:val="21"/>
                <w:szCs w:val="21"/>
                <w:highlight w:val="none"/>
                <w:lang w:eastAsia="zh-CN"/>
              </w:rPr>
              <w:t>政府采购严重违法失信行为记录名单</w:t>
            </w:r>
            <w:r>
              <w:rPr>
                <w:rFonts w:hint="eastAsia" w:ascii="宋体" w:hAnsi="宋体" w:cs="宋体"/>
                <w:color w:val="auto"/>
                <w:sz w:val="21"/>
                <w:szCs w:val="21"/>
                <w:highlight w:val="none"/>
                <w:lang w:eastAsia="zh-CN"/>
              </w:rPr>
              <w:t>、安全生产严重失信主体</w:t>
            </w:r>
            <w:r>
              <w:rPr>
                <w:rFonts w:hint="eastAsia" w:ascii="宋体" w:hAnsi="宋体" w:cs="宋体"/>
                <w:color w:val="auto"/>
                <w:sz w:val="21"/>
                <w:szCs w:val="21"/>
                <w:highlight w:val="none"/>
                <w:lang w:val="en-US" w:eastAsia="zh-CN"/>
              </w:rPr>
              <w:t>名单</w:t>
            </w:r>
            <w:r>
              <w:rPr>
                <w:rFonts w:hint="eastAsia" w:ascii="宋体" w:hAnsi="宋体" w:eastAsia="宋体" w:cs="宋体"/>
                <w:color w:val="auto"/>
                <w:sz w:val="21"/>
                <w:szCs w:val="21"/>
                <w:highlight w:val="none"/>
              </w:rPr>
              <w:t>（均不含分公司）的复核结果一致。</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4）投标人所附技术负责人试验检测师（或试验检测工程师）的网页截图复印件与“公路水运工程质量检测管理信息系统（https://www.ttiis.cn）”核查的结果一致。</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cs="宋体"/>
                <w:color w:val="auto"/>
                <w:sz w:val="21"/>
                <w:szCs w:val="21"/>
                <w:highlight w:val="none"/>
                <w:lang w:eastAsia="zh-CN"/>
              </w:rPr>
            </w:pPr>
            <w:r>
              <w:rPr>
                <w:rFonts w:hint="eastAsia" w:ascii="宋体" w:hAnsi="宋体" w:cs="宋体"/>
                <w:szCs w:val="21"/>
                <w:highlight w:val="none"/>
              </w:rPr>
              <w:t>若投标文件载明的信息与上述网站发布的信息不符，使得投标人的资格条件不符合招标文件规定的，评标委员会应否决其投标。</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评标委员会在评标时按照投标人提供的验证方式对电子保函或电子保证保险进行验证。如投标人未提供电子保函或电子保证保险的验证方式，或根据提供的验证方式无法核实的，评标委员会应否决其投标。</w:t>
            </w:r>
          </w:p>
          <w:p>
            <w:pPr>
              <w:keepNext w:val="0"/>
              <w:keepLines w:val="0"/>
              <w:pageBreakBefore w:val="0"/>
              <w:widowControl w:val="0"/>
              <w:kinsoku/>
              <w:wordWrap/>
              <w:overflowPunct/>
              <w:topLinePunct w:val="0"/>
              <w:autoSpaceDE w:val="0"/>
              <w:autoSpaceDN w:val="0"/>
              <w:bidi w:val="0"/>
              <w:adjustRightInd/>
              <w:snapToGrid w:val="0"/>
              <w:spacing w:line="32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投标人按招标文件要求提供了截图并更新政府网站公开的相关信息，并承担由于信息填报不完整或者不准确等原因导致投标可能被否决的后果。相关信息由投标人填报的，其真实性由投标人负责</w:t>
            </w:r>
            <w:r>
              <w:rPr>
                <w:rFonts w:hint="eastAsia" w:ascii="宋体" w:hAnsi="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000" w:type="pct"/>
            <w:gridSpan w:val="4"/>
            <w:vAlign w:val="center"/>
          </w:tcPr>
          <w:p>
            <w:pPr>
              <w:keepNext w:val="0"/>
              <w:keepLines w:val="0"/>
              <w:pageBreakBefore w:val="0"/>
              <w:widowControl w:val="0"/>
              <w:kinsoku/>
              <w:wordWrap/>
              <w:overflowPunct/>
              <w:topLinePunct w:val="0"/>
              <w:bidi w:val="0"/>
              <w:snapToGrid w:val="0"/>
              <w:spacing w:line="320" w:lineRule="exact"/>
              <w:ind w:right="113"/>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需要补充的其他内容：</w:t>
            </w:r>
            <w:r>
              <w:rPr>
                <w:rFonts w:hint="eastAsia" w:ascii="宋体" w:hAnsi="宋体" w:eastAsia="宋体" w:cs="宋体"/>
                <w:bCs/>
                <w:color w:val="auto"/>
                <w:sz w:val="21"/>
                <w:szCs w:val="21"/>
                <w:highlight w:val="none"/>
              </w:rPr>
              <w:t>无</w:t>
            </w:r>
          </w:p>
        </w:tc>
      </w:tr>
    </w:tbl>
    <w:p>
      <w:pPr>
        <w:rPr>
          <w:rFonts w:hint="eastAsia" w:ascii="宋体" w:hAnsi="宋体" w:eastAsia="宋体" w:cs="宋体"/>
          <w:color w:val="auto"/>
          <w:highlight w:val="none"/>
        </w:rPr>
      </w:pPr>
    </w:p>
    <w:p>
      <w:pPr>
        <w:jc w:val="right"/>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续上表</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567"/>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807" w:type="dxa"/>
            <w:gridSpan w:val="5"/>
            <w:noWrap w:val="0"/>
            <w:vAlign w:val="center"/>
          </w:tcPr>
          <w:p>
            <w:pPr>
              <w:pStyle w:val="4"/>
              <w:spacing w:line="160" w:lineRule="atLeast"/>
              <w:jc w:val="center"/>
              <w:rPr>
                <w:rFonts w:ascii="Times New Roman" w:hAnsi="Times New Roman"/>
                <w:sz w:val="21"/>
                <w:szCs w:val="21"/>
                <w:highlight w:val="none"/>
              </w:rPr>
            </w:pPr>
            <w:r>
              <w:rPr>
                <w:rFonts w:ascii="Times New Roman" w:hAnsi="Times New Roman"/>
                <w:sz w:val="21"/>
                <w:szCs w:val="21"/>
                <w:highlight w:val="none"/>
              </w:rPr>
              <w:t>评分因素与权重分值</w:t>
            </w:r>
          </w:p>
        </w:tc>
        <w:tc>
          <w:tcPr>
            <w:tcW w:w="5845" w:type="dxa"/>
            <w:vMerge w:val="restart"/>
            <w:noWrap w:val="0"/>
            <w:vAlign w:val="center"/>
          </w:tcPr>
          <w:p>
            <w:pPr>
              <w:pStyle w:val="4"/>
              <w:spacing w:line="160" w:lineRule="atLeast"/>
              <w:jc w:val="center"/>
              <w:rPr>
                <w:rFonts w:ascii="Times New Roman" w:hAnsi="Times New Roman"/>
                <w:sz w:val="21"/>
                <w:szCs w:val="21"/>
                <w:highlight w:val="none"/>
              </w:rPr>
            </w:pPr>
            <w:r>
              <w:rPr>
                <w:rFonts w:ascii="Times New Roman" w:hAnsi="Times New Roman"/>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center"/>
              <w:rPr>
                <w:rFonts w:ascii="Times New Roman" w:hAnsi="Times New Roman"/>
                <w:sz w:val="21"/>
                <w:szCs w:val="21"/>
                <w:highlight w:val="none"/>
              </w:rPr>
            </w:pPr>
            <w:r>
              <w:rPr>
                <w:rFonts w:ascii="Times New Roman" w:hAnsi="Times New Roman"/>
                <w:sz w:val="21"/>
                <w:szCs w:val="21"/>
                <w:highlight w:val="none"/>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center"/>
              <w:rPr>
                <w:rFonts w:ascii="Times New Roman" w:hAnsi="Times New Roman"/>
                <w:sz w:val="21"/>
                <w:szCs w:val="21"/>
                <w:highlight w:val="none"/>
              </w:rPr>
            </w:pPr>
            <w:r>
              <w:rPr>
                <w:rFonts w:ascii="Times New Roman" w:hAnsi="Times New Roman"/>
                <w:sz w:val="21"/>
                <w:szCs w:val="21"/>
                <w:highlight w:val="none"/>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ind w:left="-40" w:leftChars="-19" w:right="-31" w:rightChars="-15" w:firstLine="1"/>
              <w:jc w:val="center"/>
              <w:rPr>
                <w:rFonts w:ascii="Times New Roman" w:hAnsi="Times New Roman"/>
                <w:sz w:val="21"/>
                <w:szCs w:val="21"/>
                <w:highlight w:val="none"/>
              </w:rPr>
            </w:pPr>
            <w:r>
              <w:rPr>
                <w:rFonts w:ascii="Times New Roman" w:hAnsi="Times New Roman"/>
                <w:sz w:val="21"/>
                <w:szCs w:val="21"/>
                <w:highlight w:val="none"/>
              </w:rPr>
              <w:t>评分因素 权重分值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4"/>
              <w:spacing w:line="160" w:lineRule="atLeast"/>
              <w:jc w:val="center"/>
              <w:rPr>
                <w:rFonts w:ascii="Times New Roman" w:hAnsi="Times New Roman"/>
                <w:sz w:val="21"/>
                <w:szCs w:val="21"/>
                <w:highlight w:val="none"/>
              </w:rPr>
            </w:pPr>
            <w:r>
              <w:rPr>
                <w:rStyle w:val="9"/>
                <w:rFonts w:ascii="Times New Roman" w:hAnsi="Times New Roman" w:cs="Times New Roman"/>
                <w:color w:val="auto"/>
                <w:sz w:val="21"/>
                <w:szCs w:val="21"/>
                <w:highlight w:val="none"/>
              </w:rPr>
              <w:t>各评分因素细分项</w:t>
            </w:r>
          </w:p>
        </w:tc>
        <w:tc>
          <w:tcPr>
            <w:tcW w:w="567" w:type="dxa"/>
            <w:tcBorders>
              <w:left w:val="single" w:color="auto" w:sz="4" w:space="0"/>
            </w:tcBorders>
            <w:noWrap w:val="0"/>
            <w:vAlign w:val="center"/>
          </w:tcPr>
          <w:p>
            <w:pPr>
              <w:pStyle w:val="4"/>
              <w:spacing w:line="160" w:lineRule="atLeast"/>
              <w:jc w:val="center"/>
              <w:rPr>
                <w:rFonts w:ascii="Times New Roman" w:hAnsi="Times New Roman"/>
                <w:sz w:val="21"/>
                <w:szCs w:val="21"/>
                <w:highlight w:val="none"/>
              </w:rPr>
            </w:pPr>
            <w:r>
              <w:rPr>
                <w:rFonts w:ascii="Times New Roman" w:hAnsi="Times New Roman"/>
                <w:sz w:val="21"/>
                <w:szCs w:val="21"/>
                <w:highlight w:val="none"/>
              </w:rPr>
              <w:t>分值</w:t>
            </w:r>
          </w:p>
        </w:tc>
        <w:tc>
          <w:tcPr>
            <w:tcW w:w="5845" w:type="dxa"/>
            <w:vMerge w:val="continue"/>
            <w:noWrap w:val="0"/>
            <w:vAlign w:val="center"/>
          </w:tcPr>
          <w:p>
            <w:pPr>
              <w:pStyle w:val="4"/>
              <w:spacing w:line="160" w:lineRule="atLeast"/>
              <w:jc w:val="center"/>
              <w:rPr>
                <w:rFonts w:ascii="Times New Roman" w:hAnsi="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restart"/>
            <w:tcBorders>
              <w:top w:val="single" w:color="auto" w:sz="4" w:space="0"/>
            </w:tcBorders>
            <w:noWrap w:val="0"/>
            <w:vAlign w:val="center"/>
          </w:tcPr>
          <w:p>
            <w:pPr>
              <w:pStyle w:val="4"/>
              <w:spacing w:line="160" w:lineRule="atLeast"/>
              <w:jc w:val="center"/>
              <w:rPr>
                <w:rFonts w:ascii="Times New Roman" w:hAnsi="Times New Roman"/>
                <w:sz w:val="21"/>
                <w:szCs w:val="21"/>
                <w:highlight w:val="none"/>
              </w:rPr>
            </w:pPr>
            <w:r>
              <w:rPr>
                <w:rFonts w:ascii="Times New Roman" w:hAnsi="Times New Roman"/>
                <w:sz w:val="21"/>
                <w:szCs w:val="21"/>
                <w:highlight w:val="none"/>
              </w:rPr>
              <w:t>2.2.4（1）</w:t>
            </w:r>
          </w:p>
        </w:tc>
        <w:tc>
          <w:tcPr>
            <w:tcW w:w="741" w:type="dxa"/>
            <w:vMerge w:val="restart"/>
            <w:tcBorders>
              <w:top w:val="single" w:color="auto" w:sz="4" w:space="0"/>
            </w:tcBorders>
            <w:noWrap w:val="0"/>
            <w:vAlign w:val="center"/>
          </w:tcPr>
          <w:p>
            <w:pPr>
              <w:pStyle w:val="4"/>
              <w:spacing w:line="160" w:lineRule="atLeast"/>
              <w:jc w:val="center"/>
              <w:rPr>
                <w:rFonts w:ascii="Times New Roman" w:hAnsi="Times New Roman"/>
                <w:sz w:val="21"/>
                <w:szCs w:val="21"/>
                <w:highlight w:val="none"/>
              </w:rPr>
            </w:pPr>
            <w:r>
              <w:rPr>
                <w:rFonts w:ascii="Times New Roman" w:hAnsi="Times New Roman"/>
                <w:sz w:val="21"/>
                <w:szCs w:val="21"/>
                <w:highlight w:val="none"/>
              </w:rPr>
              <w:t>实施方案</w:t>
            </w:r>
          </w:p>
        </w:tc>
        <w:tc>
          <w:tcPr>
            <w:tcW w:w="624" w:type="dxa"/>
            <w:vMerge w:val="restart"/>
            <w:tcBorders>
              <w:top w:val="single" w:color="auto" w:sz="4" w:space="0"/>
            </w:tcBorders>
            <w:noWrap w:val="0"/>
            <w:vAlign w:val="center"/>
          </w:tcPr>
          <w:p>
            <w:pPr>
              <w:pStyle w:val="4"/>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35</w:t>
            </w:r>
            <w:r>
              <w:rPr>
                <w:rFonts w:ascii="Times New Roman" w:hAnsi="Times New Roman"/>
                <w:sz w:val="21"/>
                <w:szCs w:val="21"/>
                <w:highlight w:val="none"/>
              </w:rPr>
              <w:t>分</w:t>
            </w:r>
          </w:p>
        </w:tc>
        <w:tc>
          <w:tcPr>
            <w:tcW w:w="1134" w:type="dxa"/>
            <w:vMerge w:val="restart"/>
            <w:tcBorders>
              <w:top w:val="single" w:color="auto" w:sz="4" w:space="0"/>
            </w:tcBorders>
            <w:noWrap w:val="0"/>
            <w:vAlign w:val="center"/>
          </w:tcPr>
          <w:p>
            <w:pPr>
              <w:pStyle w:val="4"/>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工作</w:t>
            </w:r>
            <w:r>
              <w:rPr>
                <w:rFonts w:ascii="Times New Roman" w:hAnsi="Times New Roman"/>
                <w:sz w:val="21"/>
                <w:szCs w:val="21"/>
                <w:highlight w:val="none"/>
              </w:rPr>
              <w:t>范围、内容、步骤和程序</w:t>
            </w:r>
          </w:p>
        </w:tc>
        <w:tc>
          <w:tcPr>
            <w:tcW w:w="567" w:type="dxa"/>
            <w:vMerge w:val="restart"/>
            <w:noWrap w:val="0"/>
            <w:vAlign w:val="center"/>
          </w:tcPr>
          <w:p>
            <w:pPr>
              <w:pStyle w:val="4"/>
              <w:spacing w:line="160" w:lineRule="atLeast"/>
              <w:ind w:leftChars="-48" w:right="-31" w:rightChars="-15" w:hanging="134" w:hangingChars="64"/>
              <w:jc w:val="center"/>
              <w:rPr>
                <w:rFonts w:ascii="Times New Roman" w:hAnsi="Times New Roman"/>
                <w:sz w:val="21"/>
                <w:szCs w:val="21"/>
                <w:highlight w:val="none"/>
              </w:rPr>
            </w:pPr>
            <w:r>
              <w:rPr>
                <w:rFonts w:ascii="Times New Roman" w:hAnsi="Times New Roman"/>
                <w:sz w:val="21"/>
                <w:szCs w:val="21"/>
                <w:highlight w:val="none"/>
              </w:rPr>
              <w:t>1</w:t>
            </w:r>
            <w:r>
              <w:rPr>
                <w:rFonts w:hint="eastAsia" w:ascii="Times New Roman" w:hAnsi="Times New Roman"/>
                <w:sz w:val="21"/>
                <w:szCs w:val="21"/>
                <w:highlight w:val="none"/>
              </w:rPr>
              <w:t>0</w:t>
            </w:r>
          </w:p>
          <w:p>
            <w:pPr>
              <w:pStyle w:val="4"/>
              <w:spacing w:line="160" w:lineRule="atLeast"/>
              <w:ind w:leftChars="-48" w:right="-31" w:rightChars="-15" w:hanging="134" w:hangingChars="64"/>
              <w:jc w:val="center"/>
              <w:rPr>
                <w:rFonts w:ascii="Times New Roman" w:hAnsi="Times New Roman"/>
                <w:sz w:val="21"/>
                <w:szCs w:val="21"/>
                <w:highlight w:val="none"/>
              </w:rPr>
            </w:pPr>
            <w:r>
              <w:rPr>
                <w:rFonts w:ascii="Times New Roman" w:hAnsi="Times New Roman"/>
                <w:sz w:val="21"/>
                <w:szCs w:val="21"/>
                <w:highlight w:val="none"/>
              </w:rPr>
              <w:t>分</w:t>
            </w:r>
          </w:p>
        </w:tc>
        <w:tc>
          <w:tcPr>
            <w:tcW w:w="5845" w:type="dxa"/>
            <w:noWrap w:val="0"/>
            <w:vAlign w:val="center"/>
          </w:tcPr>
          <w:p>
            <w:pPr>
              <w:pStyle w:val="4"/>
              <w:jc w:val="left"/>
              <w:rPr>
                <w:rFonts w:ascii="Times New Roman" w:hAnsi="Times New Roman"/>
                <w:sz w:val="21"/>
                <w:szCs w:val="21"/>
                <w:highlight w:val="none"/>
              </w:rPr>
            </w:pPr>
            <w:r>
              <w:rPr>
                <w:rFonts w:ascii="Times New Roman" w:hAnsi="Times New Roman"/>
                <w:sz w:val="21"/>
                <w:szCs w:val="21"/>
                <w:highlight w:val="none"/>
              </w:rPr>
              <w:t>描述</w:t>
            </w:r>
            <w:r>
              <w:rPr>
                <w:rFonts w:hint="eastAsia" w:ascii="Times New Roman" w:hAnsi="Times New Roman"/>
                <w:sz w:val="21"/>
                <w:szCs w:val="21"/>
                <w:highlight w:val="none"/>
              </w:rPr>
              <w:t>一般</w:t>
            </w:r>
            <w:r>
              <w:rPr>
                <w:rFonts w:ascii="Times New Roman" w:hAnsi="Times New Roman"/>
                <w:sz w:val="21"/>
                <w:szCs w:val="21"/>
                <w:highlight w:val="none"/>
              </w:rPr>
              <w:t>，步骤、程序、可行性一般，得</w:t>
            </w:r>
            <w:r>
              <w:rPr>
                <w:rFonts w:hint="eastAsia" w:ascii="Times New Roman" w:hAnsi="Times New Roman"/>
                <w:sz w:val="21"/>
                <w:szCs w:val="21"/>
                <w:highlight w:val="none"/>
              </w:rPr>
              <w:t>6</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pPr>
              <w:pStyle w:val="4"/>
              <w:spacing w:line="160" w:lineRule="atLeast"/>
              <w:jc w:val="center"/>
              <w:rPr>
                <w:rFonts w:ascii="Times New Roman" w:hAnsi="Times New Roman"/>
                <w:sz w:val="21"/>
                <w:szCs w:val="21"/>
                <w:highlight w:val="none"/>
              </w:rPr>
            </w:pPr>
          </w:p>
        </w:tc>
        <w:tc>
          <w:tcPr>
            <w:tcW w:w="741" w:type="dxa"/>
            <w:vMerge w:val="continue"/>
            <w:noWrap w:val="0"/>
            <w:vAlign w:val="center"/>
          </w:tcPr>
          <w:p>
            <w:pPr>
              <w:pStyle w:val="4"/>
              <w:spacing w:line="160" w:lineRule="atLeast"/>
              <w:jc w:val="center"/>
              <w:rPr>
                <w:rFonts w:ascii="Times New Roman" w:hAnsi="Times New Roman"/>
                <w:sz w:val="21"/>
                <w:szCs w:val="21"/>
                <w:highlight w:val="none"/>
              </w:rPr>
            </w:pPr>
          </w:p>
        </w:tc>
        <w:tc>
          <w:tcPr>
            <w:tcW w:w="624" w:type="dxa"/>
            <w:vMerge w:val="continue"/>
            <w:noWrap w:val="0"/>
            <w:vAlign w:val="center"/>
          </w:tcPr>
          <w:p>
            <w:pPr>
              <w:pStyle w:val="4"/>
              <w:spacing w:line="160" w:lineRule="atLeast"/>
              <w:jc w:val="center"/>
              <w:rPr>
                <w:rFonts w:ascii="Times New Roman" w:hAnsi="Times New Roman"/>
                <w:sz w:val="21"/>
                <w:szCs w:val="21"/>
                <w:highlight w:val="none"/>
              </w:rPr>
            </w:pPr>
          </w:p>
        </w:tc>
        <w:tc>
          <w:tcPr>
            <w:tcW w:w="1134" w:type="dxa"/>
            <w:vMerge w:val="continue"/>
            <w:noWrap w:val="0"/>
            <w:vAlign w:val="center"/>
          </w:tcPr>
          <w:p>
            <w:pPr>
              <w:pStyle w:val="4"/>
              <w:spacing w:line="160" w:lineRule="atLeast"/>
              <w:jc w:val="center"/>
              <w:rPr>
                <w:rFonts w:ascii="Times New Roman" w:hAnsi="Times New Roman"/>
                <w:sz w:val="21"/>
                <w:szCs w:val="21"/>
                <w:highlight w:val="none"/>
              </w:rPr>
            </w:pPr>
          </w:p>
        </w:tc>
        <w:tc>
          <w:tcPr>
            <w:tcW w:w="567" w:type="dxa"/>
            <w:vMerge w:val="continue"/>
            <w:noWrap w:val="0"/>
            <w:vAlign w:val="center"/>
          </w:tcPr>
          <w:p>
            <w:pPr>
              <w:pStyle w:val="4"/>
              <w:spacing w:line="160" w:lineRule="atLeast"/>
              <w:ind w:leftChars="-48" w:right="-31" w:rightChars="-15" w:hanging="134" w:hangingChars="64"/>
              <w:jc w:val="center"/>
              <w:rPr>
                <w:rFonts w:ascii="Times New Roman" w:hAnsi="Times New Roman"/>
                <w:sz w:val="21"/>
                <w:szCs w:val="21"/>
                <w:highlight w:val="none"/>
              </w:rPr>
            </w:pPr>
          </w:p>
        </w:tc>
        <w:tc>
          <w:tcPr>
            <w:tcW w:w="5845" w:type="dxa"/>
            <w:noWrap w:val="0"/>
            <w:vAlign w:val="center"/>
          </w:tcPr>
          <w:p>
            <w:pPr>
              <w:pStyle w:val="4"/>
              <w:jc w:val="left"/>
              <w:rPr>
                <w:rFonts w:ascii="Times New Roman" w:hAnsi="Times New Roman"/>
                <w:spacing w:val="-4"/>
                <w:sz w:val="21"/>
                <w:szCs w:val="21"/>
                <w:highlight w:val="none"/>
              </w:rPr>
            </w:pPr>
            <w:r>
              <w:rPr>
                <w:rFonts w:ascii="Times New Roman" w:hAnsi="Times New Roman"/>
                <w:sz w:val="21"/>
                <w:szCs w:val="21"/>
                <w:highlight w:val="none"/>
              </w:rPr>
              <w:t>描述较准确、步骤和程序较全面、具备一定可行性</w:t>
            </w:r>
            <w:r>
              <w:rPr>
                <w:rFonts w:ascii="Times New Roman" w:hAnsi="Times New Roman"/>
                <w:spacing w:val="-4"/>
                <w:sz w:val="21"/>
                <w:szCs w:val="21"/>
                <w:highlight w:val="none"/>
              </w:rPr>
              <w:t>，得</w:t>
            </w:r>
            <w:r>
              <w:rPr>
                <w:rFonts w:ascii="Times New Roman" w:hAnsi="Times New Roman"/>
                <w:sz w:val="21"/>
                <w:szCs w:val="21"/>
                <w:highlight w:val="none"/>
              </w:rPr>
              <w:t>6－8</w:t>
            </w:r>
            <w:r>
              <w:rPr>
                <w:rFonts w:ascii="Times New Roman" w:hAnsi="Times New Roman"/>
                <w:spacing w:val="-4"/>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noWrap w:val="0"/>
            <w:vAlign w:val="center"/>
          </w:tcPr>
          <w:p>
            <w:pPr>
              <w:pStyle w:val="4"/>
              <w:spacing w:line="160" w:lineRule="atLeast"/>
              <w:jc w:val="center"/>
              <w:rPr>
                <w:rFonts w:ascii="Times New Roman" w:hAnsi="Times New Roman"/>
                <w:sz w:val="21"/>
                <w:szCs w:val="21"/>
                <w:highlight w:val="none"/>
              </w:rPr>
            </w:pPr>
          </w:p>
        </w:tc>
        <w:tc>
          <w:tcPr>
            <w:tcW w:w="741" w:type="dxa"/>
            <w:vMerge w:val="continue"/>
            <w:noWrap w:val="0"/>
            <w:vAlign w:val="center"/>
          </w:tcPr>
          <w:p>
            <w:pPr>
              <w:pStyle w:val="4"/>
              <w:spacing w:line="160" w:lineRule="atLeast"/>
              <w:jc w:val="center"/>
              <w:rPr>
                <w:rFonts w:ascii="Times New Roman" w:hAnsi="Times New Roman"/>
                <w:sz w:val="21"/>
                <w:szCs w:val="21"/>
                <w:highlight w:val="none"/>
              </w:rPr>
            </w:pPr>
          </w:p>
        </w:tc>
        <w:tc>
          <w:tcPr>
            <w:tcW w:w="624" w:type="dxa"/>
            <w:vMerge w:val="continue"/>
            <w:noWrap w:val="0"/>
            <w:vAlign w:val="center"/>
          </w:tcPr>
          <w:p>
            <w:pPr>
              <w:pStyle w:val="4"/>
              <w:spacing w:line="160" w:lineRule="atLeast"/>
              <w:jc w:val="center"/>
              <w:rPr>
                <w:rFonts w:ascii="Times New Roman" w:hAnsi="Times New Roman"/>
                <w:sz w:val="21"/>
                <w:szCs w:val="21"/>
                <w:highlight w:val="none"/>
              </w:rPr>
            </w:pPr>
          </w:p>
        </w:tc>
        <w:tc>
          <w:tcPr>
            <w:tcW w:w="1134" w:type="dxa"/>
            <w:vMerge w:val="continue"/>
            <w:noWrap w:val="0"/>
            <w:vAlign w:val="center"/>
          </w:tcPr>
          <w:p>
            <w:pPr>
              <w:pStyle w:val="4"/>
              <w:spacing w:line="160" w:lineRule="atLeast"/>
              <w:jc w:val="center"/>
              <w:rPr>
                <w:rFonts w:ascii="Times New Roman" w:hAnsi="Times New Roman"/>
                <w:sz w:val="21"/>
                <w:szCs w:val="21"/>
                <w:highlight w:val="none"/>
              </w:rPr>
            </w:pPr>
          </w:p>
        </w:tc>
        <w:tc>
          <w:tcPr>
            <w:tcW w:w="567" w:type="dxa"/>
            <w:vMerge w:val="continue"/>
            <w:noWrap w:val="0"/>
            <w:vAlign w:val="center"/>
          </w:tcPr>
          <w:p>
            <w:pPr>
              <w:pStyle w:val="4"/>
              <w:spacing w:line="160" w:lineRule="atLeast"/>
              <w:ind w:leftChars="-48" w:right="-31" w:rightChars="-15" w:hanging="134" w:hangingChars="64"/>
              <w:jc w:val="center"/>
              <w:rPr>
                <w:rFonts w:ascii="Times New Roman" w:hAnsi="Times New Roman"/>
                <w:sz w:val="21"/>
                <w:szCs w:val="21"/>
                <w:highlight w:val="none"/>
              </w:rPr>
            </w:pPr>
          </w:p>
        </w:tc>
        <w:tc>
          <w:tcPr>
            <w:tcW w:w="5845" w:type="dxa"/>
            <w:noWrap w:val="0"/>
            <w:vAlign w:val="center"/>
          </w:tcPr>
          <w:p>
            <w:pPr>
              <w:pStyle w:val="4"/>
              <w:jc w:val="left"/>
              <w:rPr>
                <w:rFonts w:ascii="Times New Roman" w:hAnsi="Times New Roman"/>
                <w:sz w:val="21"/>
                <w:szCs w:val="21"/>
                <w:highlight w:val="none"/>
              </w:rPr>
            </w:pPr>
            <w:r>
              <w:rPr>
                <w:rFonts w:ascii="Times New Roman" w:hAnsi="Times New Roman"/>
                <w:sz w:val="21"/>
                <w:szCs w:val="21"/>
                <w:highlight w:val="none"/>
              </w:rPr>
              <w:t>描述准确、步骤和程序全面、具体、可行，得8－10分。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center"/>
          </w:tcPr>
          <w:p>
            <w:pPr>
              <w:pStyle w:val="4"/>
              <w:spacing w:line="160" w:lineRule="atLeast"/>
              <w:jc w:val="center"/>
              <w:rPr>
                <w:rFonts w:ascii="Times New Roman" w:hAnsi="Times New Roman"/>
                <w:sz w:val="21"/>
                <w:szCs w:val="21"/>
                <w:highlight w:val="none"/>
              </w:rPr>
            </w:pPr>
          </w:p>
        </w:tc>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624" w:type="dxa"/>
            <w:vMerge w:val="continue"/>
            <w:noWrap w:val="0"/>
            <w:vAlign w:val="center"/>
          </w:tcPr>
          <w:p>
            <w:pPr>
              <w:pStyle w:val="4"/>
              <w:spacing w:line="160" w:lineRule="atLeast"/>
              <w:jc w:val="center"/>
              <w:rPr>
                <w:rFonts w:ascii="Times New Roman" w:hAnsi="Times New Roman"/>
                <w:sz w:val="21"/>
                <w:szCs w:val="21"/>
                <w:highlight w:val="none"/>
              </w:rPr>
            </w:pPr>
          </w:p>
        </w:tc>
        <w:tc>
          <w:tcPr>
            <w:tcW w:w="1134" w:type="dxa"/>
            <w:vMerge w:val="restart"/>
            <w:noWrap w:val="0"/>
            <w:vAlign w:val="center"/>
          </w:tcPr>
          <w:p>
            <w:pPr>
              <w:pStyle w:val="4"/>
              <w:spacing w:line="160" w:lineRule="atLeast"/>
              <w:jc w:val="center"/>
              <w:rPr>
                <w:rFonts w:ascii="Times New Roman" w:hAnsi="Times New Roman"/>
                <w:sz w:val="21"/>
                <w:szCs w:val="21"/>
                <w:highlight w:val="none"/>
              </w:rPr>
            </w:pPr>
            <w:r>
              <w:rPr>
                <w:rFonts w:ascii="Times New Roman" w:hAnsi="Times New Roman"/>
                <w:sz w:val="21"/>
                <w:szCs w:val="21"/>
                <w:highlight w:val="none"/>
              </w:rPr>
              <w:t>重点及难点分析</w:t>
            </w:r>
          </w:p>
        </w:tc>
        <w:tc>
          <w:tcPr>
            <w:tcW w:w="567" w:type="dxa"/>
            <w:vMerge w:val="restart"/>
            <w:noWrap w:val="0"/>
            <w:vAlign w:val="center"/>
          </w:tcPr>
          <w:p>
            <w:pPr>
              <w:pStyle w:val="4"/>
              <w:spacing w:line="160" w:lineRule="atLeast"/>
              <w:ind w:left="33" w:leftChars="-48" w:right="-31" w:rightChars="-15" w:hanging="134" w:hangingChars="64"/>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5</w:t>
            </w:r>
            <w:r>
              <w:rPr>
                <w:rFonts w:ascii="Times New Roman" w:hAnsi="Times New Roman"/>
                <w:sz w:val="21"/>
                <w:szCs w:val="21"/>
                <w:highlight w:val="none"/>
              </w:rPr>
              <w:t>分</w:t>
            </w:r>
          </w:p>
        </w:tc>
        <w:tc>
          <w:tcPr>
            <w:tcW w:w="5845" w:type="dxa"/>
            <w:noWrap w:val="0"/>
            <w:vAlign w:val="center"/>
          </w:tcPr>
          <w:p>
            <w:pPr>
              <w:pStyle w:val="4"/>
              <w:jc w:val="left"/>
              <w:rPr>
                <w:rFonts w:ascii="Times New Roman" w:hAnsi="Times New Roman"/>
                <w:sz w:val="21"/>
                <w:szCs w:val="21"/>
                <w:highlight w:val="none"/>
              </w:rPr>
            </w:pPr>
            <w:r>
              <w:rPr>
                <w:rFonts w:ascii="Times New Roman" w:hAnsi="Times New Roman"/>
                <w:sz w:val="21"/>
                <w:szCs w:val="21"/>
                <w:highlight w:val="none"/>
              </w:rPr>
              <w:t>一般，得</w:t>
            </w:r>
            <w:r>
              <w:rPr>
                <w:rFonts w:hint="eastAsia" w:ascii="Times New Roman" w:hAnsi="Times New Roman"/>
                <w:sz w:val="21"/>
                <w:szCs w:val="21"/>
                <w:highlight w:val="none"/>
                <w:lang w:val="en-US" w:eastAsia="zh-CN"/>
              </w:rPr>
              <w:t>3</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624" w:type="dxa"/>
            <w:vMerge w:val="continue"/>
            <w:noWrap w:val="0"/>
            <w:vAlign w:val="top"/>
          </w:tcPr>
          <w:p>
            <w:pPr>
              <w:pStyle w:val="4"/>
              <w:spacing w:line="160" w:lineRule="atLeast"/>
              <w:jc w:val="center"/>
              <w:rPr>
                <w:rFonts w:ascii="Times New Roman" w:hAnsi="Times New Roman"/>
                <w:sz w:val="21"/>
                <w:szCs w:val="21"/>
                <w:highlight w:val="none"/>
              </w:rPr>
            </w:pPr>
          </w:p>
        </w:tc>
        <w:tc>
          <w:tcPr>
            <w:tcW w:w="1134" w:type="dxa"/>
            <w:vMerge w:val="continue"/>
            <w:noWrap w:val="0"/>
            <w:vAlign w:val="top"/>
          </w:tcPr>
          <w:p>
            <w:pPr>
              <w:pStyle w:val="4"/>
              <w:spacing w:line="160" w:lineRule="atLeast"/>
              <w:jc w:val="center"/>
              <w:rPr>
                <w:rFonts w:ascii="Times New Roman" w:hAnsi="Times New Roman"/>
                <w:sz w:val="21"/>
                <w:szCs w:val="21"/>
                <w:highlight w:val="none"/>
              </w:rPr>
            </w:pPr>
          </w:p>
        </w:tc>
        <w:tc>
          <w:tcPr>
            <w:tcW w:w="567" w:type="dxa"/>
            <w:vMerge w:val="continue"/>
            <w:noWrap w:val="0"/>
            <w:vAlign w:val="center"/>
          </w:tcPr>
          <w:p>
            <w:pPr>
              <w:pStyle w:val="4"/>
              <w:spacing w:line="160" w:lineRule="atLeast"/>
              <w:jc w:val="center"/>
              <w:rPr>
                <w:rFonts w:ascii="Times New Roman" w:hAnsi="Times New Roman"/>
                <w:sz w:val="21"/>
                <w:szCs w:val="21"/>
                <w:highlight w:val="none"/>
              </w:rPr>
            </w:pPr>
          </w:p>
        </w:tc>
        <w:tc>
          <w:tcPr>
            <w:tcW w:w="5845" w:type="dxa"/>
            <w:noWrap w:val="0"/>
            <w:vAlign w:val="center"/>
          </w:tcPr>
          <w:p>
            <w:pPr>
              <w:pStyle w:val="4"/>
              <w:jc w:val="left"/>
              <w:rPr>
                <w:rFonts w:ascii="Times New Roman" w:hAnsi="Times New Roman"/>
                <w:sz w:val="21"/>
                <w:szCs w:val="21"/>
                <w:highlight w:val="none"/>
              </w:rPr>
            </w:pPr>
            <w:r>
              <w:rPr>
                <w:rFonts w:ascii="Times New Roman" w:hAnsi="Times New Roman"/>
                <w:sz w:val="21"/>
                <w:szCs w:val="21"/>
                <w:highlight w:val="none"/>
              </w:rPr>
              <w:t>分析较全面、措施较得力</w:t>
            </w:r>
            <w:r>
              <w:rPr>
                <w:rFonts w:hint="eastAsia" w:ascii="Times New Roman" w:hAnsi="Times New Roman"/>
                <w:sz w:val="21"/>
                <w:szCs w:val="21"/>
                <w:highlight w:val="none"/>
              </w:rPr>
              <w:t>，得</w:t>
            </w:r>
            <w:r>
              <w:rPr>
                <w:rFonts w:hint="eastAsia" w:ascii="Times New Roman" w:hAnsi="Times New Roman"/>
                <w:sz w:val="21"/>
                <w:szCs w:val="21"/>
                <w:highlight w:val="none"/>
                <w:lang w:val="en-US" w:eastAsia="zh-CN"/>
              </w:rPr>
              <w:t>3</w:t>
            </w:r>
            <w:r>
              <w:rPr>
                <w:rFonts w:hint="eastAsia" w:ascii="Times New Roman" w:hAnsi="Times New Roman"/>
                <w:sz w:val="21"/>
                <w:szCs w:val="21"/>
                <w:highlight w:val="none"/>
              </w:rPr>
              <w:t>－</w:t>
            </w:r>
            <w:r>
              <w:rPr>
                <w:rFonts w:hint="eastAsia" w:ascii="Times New Roman" w:hAnsi="Times New Roman"/>
                <w:sz w:val="21"/>
                <w:szCs w:val="21"/>
                <w:highlight w:val="none"/>
                <w:lang w:val="en-US" w:eastAsia="zh-CN"/>
              </w:rPr>
              <w:t>4</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624" w:type="dxa"/>
            <w:vMerge w:val="continue"/>
            <w:noWrap w:val="0"/>
            <w:vAlign w:val="top"/>
          </w:tcPr>
          <w:p>
            <w:pPr>
              <w:pStyle w:val="4"/>
              <w:spacing w:line="160" w:lineRule="atLeast"/>
              <w:jc w:val="center"/>
              <w:rPr>
                <w:rFonts w:ascii="Times New Roman" w:hAnsi="Times New Roman"/>
                <w:sz w:val="21"/>
                <w:szCs w:val="21"/>
                <w:highlight w:val="none"/>
              </w:rPr>
            </w:pPr>
          </w:p>
        </w:tc>
        <w:tc>
          <w:tcPr>
            <w:tcW w:w="1134" w:type="dxa"/>
            <w:vMerge w:val="continue"/>
            <w:noWrap w:val="0"/>
            <w:vAlign w:val="top"/>
          </w:tcPr>
          <w:p>
            <w:pPr>
              <w:pStyle w:val="4"/>
              <w:spacing w:line="160" w:lineRule="atLeast"/>
              <w:jc w:val="center"/>
              <w:rPr>
                <w:rFonts w:ascii="Times New Roman" w:hAnsi="Times New Roman"/>
                <w:sz w:val="21"/>
                <w:szCs w:val="21"/>
                <w:highlight w:val="none"/>
              </w:rPr>
            </w:pPr>
          </w:p>
        </w:tc>
        <w:tc>
          <w:tcPr>
            <w:tcW w:w="567" w:type="dxa"/>
            <w:vMerge w:val="continue"/>
            <w:noWrap w:val="0"/>
            <w:vAlign w:val="center"/>
          </w:tcPr>
          <w:p>
            <w:pPr>
              <w:pStyle w:val="4"/>
              <w:spacing w:line="160" w:lineRule="atLeast"/>
              <w:jc w:val="center"/>
              <w:rPr>
                <w:rFonts w:ascii="Times New Roman" w:hAnsi="Times New Roman"/>
                <w:sz w:val="21"/>
                <w:szCs w:val="21"/>
                <w:highlight w:val="none"/>
              </w:rPr>
            </w:pPr>
          </w:p>
        </w:tc>
        <w:tc>
          <w:tcPr>
            <w:tcW w:w="5845" w:type="dxa"/>
            <w:noWrap w:val="0"/>
            <w:vAlign w:val="center"/>
          </w:tcPr>
          <w:p>
            <w:pPr>
              <w:pStyle w:val="4"/>
              <w:jc w:val="left"/>
              <w:rPr>
                <w:rFonts w:ascii="Times New Roman" w:hAnsi="Times New Roman"/>
                <w:sz w:val="21"/>
                <w:szCs w:val="21"/>
                <w:highlight w:val="none"/>
              </w:rPr>
            </w:pPr>
            <w:r>
              <w:rPr>
                <w:rFonts w:ascii="Times New Roman" w:hAnsi="Times New Roman"/>
                <w:sz w:val="21"/>
                <w:szCs w:val="21"/>
                <w:highlight w:val="none"/>
              </w:rPr>
              <w:t>分析透彻、措施具体得力，得</w:t>
            </w:r>
            <w:r>
              <w:rPr>
                <w:rFonts w:hint="eastAsia" w:ascii="Times New Roman" w:hAnsi="Times New Roman"/>
                <w:sz w:val="21"/>
                <w:szCs w:val="21"/>
                <w:highlight w:val="none"/>
                <w:lang w:val="en-US" w:eastAsia="zh-CN"/>
              </w:rPr>
              <w:t>4</w:t>
            </w:r>
            <w:r>
              <w:rPr>
                <w:rFonts w:ascii="Times New Roman" w:hAnsi="Times New Roman"/>
                <w:sz w:val="21"/>
                <w:szCs w:val="21"/>
                <w:highlight w:val="none"/>
              </w:rPr>
              <w:t>－</w:t>
            </w:r>
            <w:r>
              <w:rPr>
                <w:rFonts w:hint="eastAsia" w:ascii="Times New Roman" w:hAnsi="Times New Roman"/>
                <w:sz w:val="21"/>
                <w:szCs w:val="21"/>
                <w:highlight w:val="none"/>
                <w:lang w:val="en-US" w:eastAsia="zh-CN"/>
              </w:rPr>
              <w:t>5</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pPr>
              <w:pStyle w:val="4"/>
              <w:spacing w:line="160" w:lineRule="atLeast"/>
              <w:jc w:val="center"/>
              <w:rPr>
                <w:rFonts w:ascii="Times New Roman" w:hAnsi="Times New Roman"/>
                <w:sz w:val="21"/>
                <w:szCs w:val="21"/>
                <w:highlight w:val="none"/>
              </w:rPr>
            </w:pPr>
          </w:p>
        </w:tc>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624" w:type="dxa"/>
            <w:vMerge w:val="continue"/>
            <w:noWrap w:val="0"/>
            <w:vAlign w:val="center"/>
          </w:tcPr>
          <w:p>
            <w:pPr>
              <w:pStyle w:val="4"/>
              <w:spacing w:line="160" w:lineRule="atLeast"/>
              <w:jc w:val="center"/>
              <w:rPr>
                <w:rFonts w:ascii="Times New Roman" w:hAnsi="Times New Roman"/>
                <w:sz w:val="21"/>
                <w:szCs w:val="21"/>
                <w:highlight w:val="none"/>
              </w:rPr>
            </w:pPr>
          </w:p>
        </w:tc>
        <w:tc>
          <w:tcPr>
            <w:tcW w:w="1134" w:type="dxa"/>
            <w:vMerge w:val="restart"/>
            <w:noWrap w:val="0"/>
            <w:vAlign w:val="center"/>
          </w:tcPr>
          <w:p>
            <w:pPr>
              <w:pStyle w:val="4"/>
              <w:spacing w:line="160" w:lineRule="atLeast"/>
              <w:ind w:right="-59" w:rightChars="-28"/>
              <w:jc w:val="center"/>
              <w:rPr>
                <w:rFonts w:ascii="Times New Roman" w:hAnsi="Times New Roman"/>
                <w:sz w:val="21"/>
                <w:szCs w:val="21"/>
                <w:highlight w:val="none"/>
              </w:rPr>
            </w:pPr>
            <w:r>
              <w:rPr>
                <w:rFonts w:ascii="Times New Roman" w:hAnsi="Times New Roman"/>
                <w:sz w:val="21"/>
                <w:szCs w:val="21"/>
                <w:highlight w:val="none"/>
              </w:rPr>
              <w:t>质量</w:t>
            </w:r>
            <w:r>
              <w:rPr>
                <w:rFonts w:hint="eastAsia" w:ascii="Times New Roman" w:hAnsi="Times New Roman"/>
                <w:sz w:val="21"/>
                <w:szCs w:val="21"/>
                <w:highlight w:val="none"/>
                <w:lang w:eastAsia="zh-CN"/>
              </w:rPr>
              <w:t>、</w:t>
            </w:r>
            <w:r>
              <w:rPr>
                <w:rFonts w:hint="eastAsia" w:ascii="Times New Roman" w:hAnsi="Times New Roman"/>
                <w:sz w:val="21"/>
                <w:szCs w:val="21"/>
                <w:highlight w:val="none"/>
                <w:lang w:val="en-US" w:eastAsia="zh-CN"/>
              </w:rPr>
              <w:t>安全</w:t>
            </w:r>
            <w:r>
              <w:rPr>
                <w:rFonts w:ascii="Times New Roman" w:hAnsi="Times New Roman"/>
                <w:sz w:val="21"/>
                <w:szCs w:val="21"/>
                <w:highlight w:val="none"/>
              </w:rPr>
              <w:t>控制方法及措施</w:t>
            </w:r>
          </w:p>
        </w:tc>
        <w:tc>
          <w:tcPr>
            <w:tcW w:w="567" w:type="dxa"/>
            <w:vMerge w:val="restart"/>
            <w:noWrap w:val="0"/>
            <w:vAlign w:val="center"/>
          </w:tcPr>
          <w:p>
            <w:pPr>
              <w:pStyle w:val="4"/>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5</w:t>
            </w:r>
            <w:r>
              <w:rPr>
                <w:rFonts w:ascii="Times New Roman" w:hAnsi="Times New Roman"/>
                <w:sz w:val="21"/>
                <w:szCs w:val="21"/>
                <w:highlight w:val="none"/>
              </w:rPr>
              <w:t>分</w:t>
            </w:r>
          </w:p>
        </w:tc>
        <w:tc>
          <w:tcPr>
            <w:tcW w:w="5845" w:type="dxa"/>
            <w:noWrap w:val="0"/>
            <w:vAlign w:val="center"/>
          </w:tcPr>
          <w:p>
            <w:pPr>
              <w:pStyle w:val="4"/>
              <w:spacing w:line="300" w:lineRule="exact"/>
              <w:jc w:val="left"/>
              <w:rPr>
                <w:rFonts w:ascii="Times New Roman" w:hAnsi="Times New Roman"/>
                <w:sz w:val="21"/>
                <w:szCs w:val="21"/>
                <w:highlight w:val="none"/>
              </w:rPr>
            </w:pPr>
            <w:r>
              <w:rPr>
                <w:rFonts w:ascii="Times New Roman" w:hAnsi="Times New Roman"/>
                <w:sz w:val="21"/>
                <w:szCs w:val="21"/>
                <w:highlight w:val="none"/>
              </w:rPr>
              <w:t>拟采取的控制方法及措施符合法律法规要求，针对性、可操作性一般，得</w:t>
            </w:r>
            <w:r>
              <w:rPr>
                <w:rFonts w:hint="eastAsia" w:ascii="Times New Roman" w:hAnsi="Times New Roman"/>
                <w:sz w:val="21"/>
                <w:szCs w:val="21"/>
                <w:highlight w:val="none"/>
                <w:lang w:val="en-US" w:eastAsia="zh-CN"/>
              </w:rPr>
              <w:t>3</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624" w:type="dxa"/>
            <w:vMerge w:val="continue"/>
            <w:noWrap w:val="0"/>
            <w:vAlign w:val="top"/>
          </w:tcPr>
          <w:p>
            <w:pPr>
              <w:pStyle w:val="4"/>
              <w:spacing w:line="160" w:lineRule="atLeast"/>
              <w:jc w:val="center"/>
              <w:rPr>
                <w:rFonts w:ascii="Times New Roman" w:hAnsi="Times New Roman"/>
                <w:sz w:val="21"/>
                <w:szCs w:val="21"/>
                <w:highlight w:val="none"/>
              </w:rPr>
            </w:pPr>
          </w:p>
        </w:tc>
        <w:tc>
          <w:tcPr>
            <w:tcW w:w="1134" w:type="dxa"/>
            <w:vMerge w:val="continue"/>
            <w:noWrap w:val="0"/>
            <w:vAlign w:val="top"/>
          </w:tcPr>
          <w:p>
            <w:pPr>
              <w:pStyle w:val="4"/>
              <w:spacing w:line="160" w:lineRule="atLeast"/>
              <w:jc w:val="center"/>
              <w:rPr>
                <w:rFonts w:ascii="Times New Roman" w:hAnsi="Times New Roman"/>
                <w:sz w:val="21"/>
                <w:szCs w:val="21"/>
                <w:highlight w:val="none"/>
              </w:rPr>
            </w:pPr>
          </w:p>
        </w:tc>
        <w:tc>
          <w:tcPr>
            <w:tcW w:w="567" w:type="dxa"/>
            <w:vMerge w:val="continue"/>
            <w:noWrap w:val="0"/>
            <w:vAlign w:val="center"/>
          </w:tcPr>
          <w:p>
            <w:pPr>
              <w:pStyle w:val="4"/>
              <w:spacing w:line="160" w:lineRule="atLeast"/>
              <w:jc w:val="center"/>
              <w:rPr>
                <w:rFonts w:ascii="Times New Roman" w:hAnsi="Times New Roman"/>
                <w:sz w:val="21"/>
                <w:szCs w:val="21"/>
                <w:highlight w:val="none"/>
              </w:rPr>
            </w:pPr>
          </w:p>
        </w:tc>
        <w:tc>
          <w:tcPr>
            <w:tcW w:w="5845" w:type="dxa"/>
            <w:noWrap w:val="0"/>
            <w:vAlign w:val="center"/>
          </w:tcPr>
          <w:p>
            <w:pPr>
              <w:pStyle w:val="4"/>
              <w:spacing w:line="300" w:lineRule="exact"/>
              <w:jc w:val="left"/>
              <w:rPr>
                <w:rFonts w:ascii="Times New Roman" w:hAnsi="Times New Roman"/>
                <w:sz w:val="21"/>
                <w:szCs w:val="21"/>
                <w:highlight w:val="none"/>
              </w:rPr>
            </w:pPr>
            <w:r>
              <w:rPr>
                <w:rFonts w:ascii="Times New Roman" w:hAnsi="Times New Roman"/>
                <w:sz w:val="21"/>
                <w:szCs w:val="21"/>
                <w:highlight w:val="none"/>
              </w:rPr>
              <w:t>拟采取的控制方法及措施符合法律法规要求，针对性、可操作性较强，得</w:t>
            </w:r>
            <w:r>
              <w:rPr>
                <w:rFonts w:hint="eastAsia" w:ascii="Times New Roman" w:hAnsi="Times New Roman"/>
                <w:sz w:val="21"/>
                <w:szCs w:val="21"/>
                <w:highlight w:val="none"/>
                <w:lang w:val="en-US" w:eastAsia="zh-CN"/>
              </w:rPr>
              <w:t>3</w:t>
            </w:r>
            <w:r>
              <w:rPr>
                <w:rFonts w:ascii="Times New Roman" w:hAnsi="Times New Roman"/>
                <w:sz w:val="21"/>
                <w:szCs w:val="21"/>
                <w:highlight w:val="none"/>
              </w:rPr>
              <w:t>－</w:t>
            </w:r>
            <w:r>
              <w:rPr>
                <w:rFonts w:hint="eastAsia" w:ascii="Times New Roman" w:hAnsi="Times New Roman"/>
                <w:sz w:val="21"/>
                <w:szCs w:val="21"/>
                <w:highlight w:val="none"/>
                <w:lang w:val="en-US" w:eastAsia="zh-CN"/>
              </w:rPr>
              <w:t>4</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624" w:type="dxa"/>
            <w:vMerge w:val="continue"/>
            <w:noWrap w:val="0"/>
            <w:vAlign w:val="top"/>
          </w:tcPr>
          <w:p>
            <w:pPr>
              <w:pStyle w:val="4"/>
              <w:spacing w:line="160" w:lineRule="atLeast"/>
              <w:jc w:val="center"/>
              <w:rPr>
                <w:rFonts w:ascii="Times New Roman" w:hAnsi="Times New Roman"/>
                <w:sz w:val="21"/>
                <w:szCs w:val="21"/>
                <w:highlight w:val="none"/>
              </w:rPr>
            </w:pPr>
          </w:p>
        </w:tc>
        <w:tc>
          <w:tcPr>
            <w:tcW w:w="1134" w:type="dxa"/>
            <w:vMerge w:val="continue"/>
            <w:noWrap w:val="0"/>
            <w:vAlign w:val="top"/>
          </w:tcPr>
          <w:p>
            <w:pPr>
              <w:pStyle w:val="4"/>
              <w:spacing w:line="160" w:lineRule="atLeast"/>
              <w:jc w:val="center"/>
              <w:rPr>
                <w:rFonts w:ascii="Times New Roman" w:hAnsi="Times New Roman"/>
                <w:sz w:val="21"/>
                <w:szCs w:val="21"/>
                <w:highlight w:val="none"/>
              </w:rPr>
            </w:pPr>
          </w:p>
        </w:tc>
        <w:tc>
          <w:tcPr>
            <w:tcW w:w="567" w:type="dxa"/>
            <w:vMerge w:val="continue"/>
            <w:noWrap w:val="0"/>
            <w:vAlign w:val="center"/>
          </w:tcPr>
          <w:p>
            <w:pPr>
              <w:pStyle w:val="4"/>
              <w:spacing w:line="160" w:lineRule="atLeast"/>
              <w:jc w:val="center"/>
              <w:rPr>
                <w:rFonts w:ascii="Times New Roman" w:hAnsi="Times New Roman"/>
                <w:sz w:val="21"/>
                <w:szCs w:val="21"/>
                <w:highlight w:val="none"/>
              </w:rPr>
            </w:pPr>
          </w:p>
        </w:tc>
        <w:tc>
          <w:tcPr>
            <w:tcW w:w="5845" w:type="dxa"/>
            <w:noWrap w:val="0"/>
            <w:vAlign w:val="center"/>
          </w:tcPr>
          <w:p>
            <w:pPr>
              <w:pStyle w:val="4"/>
              <w:spacing w:line="300" w:lineRule="exact"/>
              <w:jc w:val="left"/>
              <w:rPr>
                <w:rFonts w:ascii="Times New Roman" w:hAnsi="Times New Roman"/>
                <w:sz w:val="21"/>
                <w:szCs w:val="21"/>
                <w:highlight w:val="none"/>
              </w:rPr>
            </w:pPr>
            <w:r>
              <w:rPr>
                <w:rFonts w:ascii="Times New Roman" w:hAnsi="Times New Roman"/>
                <w:sz w:val="21"/>
                <w:szCs w:val="21"/>
                <w:highlight w:val="none"/>
              </w:rPr>
              <w:t>拟采取的控制方法及措施符合法律法规要求，针对性、可操作性强，得</w:t>
            </w:r>
            <w:r>
              <w:rPr>
                <w:rFonts w:hint="eastAsia" w:ascii="Times New Roman" w:hAnsi="Times New Roman"/>
                <w:sz w:val="21"/>
                <w:szCs w:val="21"/>
                <w:highlight w:val="none"/>
                <w:lang w:val="en-US" w:eastAsia="zh-CN"/>
              </w:rPr>
              <w:t>4</w:t>
            </w:r>
            <w:r>
              <w:rPr>
                <w:rFonts w:ascii="Times New Roman" w:hAnsi="Times New Roman"/>
                <w:sz w:val="21"/>
                <w:szCs w:val="21"/>
                <w:highlight w:val="none"/>
              </w:rPr>
              <w:t>－</w:t>
            </w:r>
            <w:r>
              <w:rPr>
                <w:rFonts w:hint="eastAsia" w:ascii="Times New Roman" w:hAnsi="Times New Roman"/>
                <w:sz w:val="21"/>
                <w:szCs w:val="21"/>
                <w:highlight w:val="none"/>
                <w:lang w:val="en-US" w:eastAsia="zh-CN"/>
              </w:rPr>
              <w:t>5</w:t>
            </w:r>
            <w:r>
              <w:rPr>
                <w:rFonts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center"/>
          </w:tcPr>
          <w:p>
            <w:pPr>
              <w:pStyle w:val="4"/>
              <w:spacing w:line="160" w:lineRule="atLeast"/>
              <w:jc w:val="center"/>
              <w:rPr>
                <w:rFonts w:ascii="Times New Roman" w:hAnsi="Times New Roman"/>
                <w:sz w:val="21"/>
                <w:szCs w:val="21"/>
                <w:highlight w:val="none"/>
              </w:rPr>
            </w:pPr>
          </w:p>
        </w:tc>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624" w:type="dxa"/>
            <w:vMerge w:val="continue"/>
            <w:noWrap w:val="0"/>
            <w:vAlign w:val="center"/>
          </w:tcPr>
          <w:p>
            <w:pPr>
              <w:pStyle w:val="4"/>
              <w:spacing w:line="160" w:lineRule="atLeast"/>
              <w:jc w:val="center"/>
              <w:rPr>
                <w:rFonts w:ascii="Times New Roman" w:hAnsi="Times New Roman"/>
                <w:sz w:val="21"/>
                <w:szCs w:val="21"/>
                <w:highlight w:val="none"/>
              </w:rPr>
            </w:pPr>
          </w:p>
        </w:tc>
        <w:tc>
          <w:tcPr>
            <w:tcW w:w="1134" w:type="dxa"/>
            <w:vMerge w:val="restart"/>
            <w:noWrap w:val="0"/>
            <w:vAlign w:val="center"/>
          </w:tcPr>
          <w:p>
            <w:pPr>
              <w:pStyle w:val="4"/>
              <w:spacing w:line="160" w:lineRule="atLeast"/>
              <w:jc w:val="center"/>
              <w:rPr>
                <w:rFonts w:ascii="Times New Roman" w:hAnsi="Times New Roman"/>
                <w:sz w:val="21"/>
                <w:szCs w:val="21"/>
                <w:highlight w:val="none"/>
              </w:rPr>
            </w:pPr>
            <w:r>
              <w:rPr>
                <w:rFonts w:ascii="Times New Roman" w:hAnsi="Times New Roman"/>
                <w:sz w:val="21"/>
                <w:szCs w:val="21"/>
                <w:highlight w:val="none"/>
              </w:rPr>
              <w:t>工作进度安排</w:t>
            </w:r>
          </w:p>
        </w:tc>
        <w:tc>
          <w:tcPr>
            <w:tcW w:w="567" w:type="dxa"/>
            <w:vMerge w:val="restart"/>
            <w:noWrap w:val="0"/>
            <w:vAlign w:val="center"/>
          </w:tcPr>
          <w:p>
            <w:pPr>
              <w:pStyle w:val="4"/>
              <w:spacing w:line="160" w:lineRule="atLeast"/>
              <w:jc w:val="center"/>
              <w:rPr>
                <w:rFonts w:ascii="Times New Roman" w:hAnsi="Times New Roman"/>
                <w:sz w:val="21"/>
                <w:szCs w:val="21"/>
                <w:highlight w:val="none"/>
              </w:rPr>
            </w:pPr>
            <w:r>
              <w:rPr>
                <w:rFonts w:ascii="Times New Roman" w:hAnsi="Times New Roman"/>
                <w:sz w:val="21"/>
                <w:szCs w:val="21"/>
                <w:highlight w:val="none"/>
              </w:rPr>
              <w:t>5分</w:t>
            </w:r>
          </w:p>
        </w:tc>
        <w:tc>
          <w:tcPr>
            <w:tcW w:w="5845" w:type="dxa"/>
            <w:noWrap w:val="0"/>
            <w:vAlign w:val="center"/>
          </w:tcPr>
          <w:p>
            <w:pPr>
              <w:pStyle w:val="4"/>
              <w:spacing w:line="300" w:lineRule="exact"/>
              <w:jc w:val="left"/>
              <w:rPr>
                <w:rFonts w:ascii="Times New Roman" w:hAnsi="Times New Roman"/>
                <w:sz w:val="21"/>
                <w:szCs w:val="21"/>
                <w:highlight w:val="none"/>
              </w:rPr>
            </w:pPr>
            <w:r>
              <w:rPr>
                <w:rFonts w:ascii="Times New Roman" w:hAnsi="Times New Roman"/>
                <w:sz w:val="21"/>
                <w:szCs w:val="21"/>
                <w:highlight w:val="none"/>
              </w:rPr>
              <w:t>进度安排一般，基本满足项目要求，得3分；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624" w:type="dxa"/>
            <w:vMerge w:val="continue"/>
            <w:noWrap w:val="0"/>
            <w:vAlign w:val="top"/>
          </w:tcPr>
          <w:p>
            <w:pPr>
              <w:pStyle w:val="4"/>
              <w:spacing w:line="160" w:lineRule="atLeast"/>
              <w:jc w:val="center"/>
              <w:rPr>
                <w:rFonts w:ascii="Times New Roman" w:hAnsi="Times New Roman"/>
                <w:sz w:val="21"/>
                <w:szCs w:val="21"/>
                <w:highlight w:val="none"/>
              </w:rPr>
            </w:pPr>
          </w:p>
        </w:tc>
        <w:tc>
          <w:tcPr>
            <w:tcW w:w="1134" w:type="dxa"/>
            <w:vMerge w:val="continue"/>
            <w:noWrap w:val="0"/>
            <w:vAlign w:val="top"/>
          </w:tcPr>
          <w:p>
            <w:pPr>
              <w:pStyle w:val="4"/>
              <w:spacing w:line="160" w:lineRule="atLeast"/>
              <w:jc w:val="center"/>
              <w:rPr>
                <w:rFonts w:ascii="Times New Roman" w:hAnsi="Times New Roman"/>
                <w:sz w:val="21"/>
                <w:szCs w:val="21"/>
                <w:highlight w:val="none"/>
              </w:rPr>
            </w:pPr>
          </w:p>
        </w:tc>
        <w:tc>
          <w:tcPr>
            <w:tcW w:w="567" w:type="dxa"/>
            <w:vMerge w:val="continue"/>
            <w:noWrap w:val="0"/>
            <w:vAlign w:val="center"/>
          </w:tcPr>
          <w:p>
            <w:pPr>
              <w:pStyle w:val="4"/>
              <w:spacing w:line="160" w:lineRule="atLeast"/>
              <w:jc w:val="center"/>
              <w:rPr>
                <w:rFonts w:ascii="Times New Roman" w:hAnsi="Times New Roman"/>
                <w:sz w:val="21"/>
                <w:szCs w:val="21"/>
                <w:highlight w:val="none"/>
              </w:rPr>
            </w:pPr>
          </w:p>
        </w:tc>
        <w:tc>
          <w:tcPr>
            <w:tcW w:w="5845" w:type="dxa"/>
            <w:noWrap w:val="0"/>
            <w:vAlign w:val="center"/>
          </w:tcPr>
          <w:p>
            <w:pPr>
              <w:pStyle w:val="4"/>
              <w:spacing w:line="300" w:lineRule="exact"/>
              <w:jc w:val="left"/>
              <w:rPr>
                <w:rFonts w:ascii="Times New Roman" w:hAnsi="Times New Roman"/>
                <w:sz w:val="21"/>
                <w:szCs w:val="21"/>
                <w:highlight w:val="none"/>
              </w:rPr>
            </w:pPr>
            <w:r>
              <w:rPr>
                <w:rFonts w:ascii="Times New Roman" w:hAnsi="Times New Roman"/>
                <w:sz w:val="21"/>
                <w:szCs w:val="21"/>
                <w:highlight w:val="none"/>
              </w:rPr>
              <w:t>进度安排较合理，能较好满足项目要求，得3－4分；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624" w:type="dxa"/>
            <w:vMerge w:val="continue"/>
            <w:noWrap w:val="0"/>
            <w:vAlign w:val="top"/>
          </w:tcPr>
          <w:p>
            <w:pPr>
              <w:pStyle w:val="4"/>
              <w:spacing w:line="160" w:lineRule="atLeast"/>
              <w:jc w:val="center"/>
              <w:rPr>
                <w:rFonts w:ascii="Times New Roman" w:hAnsi="Times New Roman"/>
                <w:sz w:val="21"/>
                <w:szCs w:val="21"/>
                <w:highlight w:val="none"/>
              </w:rPr>
            </w:pPr>
          </w:p>
        </w:tc>
        <w:tc>
          <w:tcPr>
            <w:tcW w:w="1134" w:type="dxa"/>
            <w:vMerge w:val="continue"/>
            <w:noWrap w:val="0"/>
            <w:vAlign w:val="top"/>
          </w:tcPr>
          <w:p>
            <w:pPr>
              <w:pStyle w:val="4"/>
              <w:spacing w:line="160" w:lineRule="atLeast"/>
              <w:jc w:val="center"/>
              <w:rPr>
                <w:rFonts w:ascii="Times New Roman" w:hAnsi="Times New Roman"/>
                <w:sz w:val="21"/>
                <w:szCs w:val="21"/>
                <w:highlight w:val="none"/>
              </w:rPr>
            </w:pPr>
          </w:p>
        </w:tc>
        <w:tc>
          <w:tcPr>
            <w:tcW w:w="567" w:type="dxa"/>
            <w:vMerge w:val="continue"/>
            <w:noWrap w:val="0"/>
            <w:vAlign w:val="center"/>
          </w:tcPr>
          <w:p>
            <w:pPr>
              <w:pStyle w:val="4"/>
              <w:spacing w:line="160" w:lineRule="atLeast"/>
              <w:jc w:val="center"/>
              <w:rPr>
                <w:rFonts w:ascii="Times New Roman" w:hAnsi="Times New Roman"/>
                <w:sz w:val="21"/>
                <w:szCs w:val="21"/>
                <w:highlight w:val="none"/>
              </w:rPr>
            </w:pPr>
          </w:p>
        </w:tc>
        <w:tc>
          <w:tcPr>
            <w:tcW w:w="5845" w:type="dxa"/>
            <w:noWrap w:val="0"/>
            <w:vAlign w:val="center"/>
          </w:tcPr>
          <w:p>
            <w:pPr>
              <w:pStyle w:val="4"/>
              <w:spacing w:line="300" w:lineRule="exact"/>
              <w:jc w:val="left"/>
              <w:rPr>
                <w:rFonts w:ascii="Times New Roman" w:hAnsi="Times New Roman"/>
                <w:sz w:val="21"/>
                <w:szCs w:val="21"/>
                <w:highlight w:val="none"/>
              </w:rPr>
            </w:pPr>
            <w:r>
              <w:rPr>
                <w:rFonts w:ascii="Times New Roman" w:hAnsi="Times New Roman"/>
                <w:sz w:val="21"/>
                <w:szCs w:val="21"/>
                <w:highlight w:val="none"/>
              </w:rPr>
              <w:t>进度安排合理周密，完全满足项目要求，得4－5分。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624" w:type="dxa"/>
            <w:vMerge w:val="continue"/>
            <w:noWrap w:val="0"/>
            <w:vAlign w:val="top"/>
          </w:tcPr>
          <w:p>
            <w:pPr>
              <w:pStyle w:val="4"/>
              <w:spacing w:line="160" w:lineRule="atLeast"/>
              <w:jc w:val="center"/>
              <w:rPr>
                <w:rFonts w:ascii="Times New Roman" w:hAnsi="Times New Roman"/>
                <w:sz w:val="21"/>
                <w:szCs w:val="21"/>
                <w:highlight w:val="none"/>
              </w:rPr>
            </w:pPr>
          </w:p>
        </w:tc>
        <w:tc>
          <w:tcPr>
            <w:tcW w:w="1134" w:type="dxa"/>
            <w:vMerge w:val="restart"/>
            <w:noWrap w:val="0"/>
            <w:vAlign w:val="center"/>
          </w:tcPr>
          <w:p>
            <w:pPr>
              <w:pStyle w:val="4"/>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rPr>
              <w:t>交通组织方案</w:t>
            </w:r>
          </w:p>
        </w:tc>
        <w:tc>
          <w:tcPr>
            <w:tcW w:w="567" w:type="dxa"/>
            <w:vMerge w:val="restart"/>
            <w:noWrap w:val="0"/>
            <w:vAlign w:val="center"/>
          </w:tcPr>
          <w:p>
            <w:pPr>
              <w:pStyle w:val="4"/>
              <w:spacing w:line="160" w:lineRule="atLeast"/>
              <w:jc w:val="center"/>
              <w:rPr>
                <w:rFonts w:ascii="Times New Roman" w:hAnsi="Times New Roman"/>
                <w:sz w:val="21"/>
                <w:szCs w:val="21"/>
                <w:highlight w:val="none"/>
              </w:rPr>
            </w:pPr>
            <w:r>
              <w:rPr>
                <w:rFonts w:ascii="Times New Roman" w:hAnsi="Times New Roman"/>
                <w:sz w:val="21"/>
                <w:szCs w:val="21"/>
                <w:highlight w:val="none"/>
              </w:rPr>
              <w:t>5分</w:t>
            </w:r>
          </w:p>
        </w:tc>
        <w:tc>
          <w:tcPr>
            <w:tcW w:w="5845" w:type="dxa"/>
            <w:noWrap w:val="0"/>
            <w:vAlign w:val="center"/>
          </w:tcPr>
          <w:p>
            <w:pPr>
              <w:pStyle w:val="4"/>
              <w:spacing w:line="300" w:lineRule="exact"/>
              <w:jc w:val="left"/>
              <w:rPr>
                <w:rFonts w:ascii="Times New Roman" w:hAnsi="Times New Roman"/>
                <w:sz w:val="21"/>
                <w:szCs w:val="21"/>
                <w:highlight w:val="none"/>
              </w:rPr>
            </w:pPr>
            <w:r>
              <w:rPr>
                <w:rFonts w:hint="eastAsia" w:ascii="Times New Roman" w:hAnsi="Times New Roman"/>
                <w:sz w:val="21"/>
                <w:szCs w:val="21"/>
                <w:highlight w:val="none"/>
              </w:rPr>
              <w:t>交通组织方案一般，得</w:t>
            </w:r>
            <w:r>
              <w:rPr>
                <w:rFonts w:hint="eastAsia" w:ascii="Times New Roman" w:hAnsi="Times New Roman"/>
                <w:sz w:val="21"/>
                <w:szCs w:val="21"/>
                <w:highlight w:val="none"/>
                <w:lang w:val="en-US" w:eastAsia="zh-CN"/>
              </w:rPr>
              <w:t>3</w:t>
            </w:r>
            <w:r>
              <w:rPr>
                <w:rFonts w:hint="eastAsia"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624" w:type="dxa"/>
            <w:vMerge w:val="continue"/>
            <w:noWrap w:val="0"/>
            <w:vAlign w:val="top"/>
          </w:tcPr>
          <w:p>
            <w:pPr>
              <w:pStyle w:val="4"/>
              <w:spacing w:line="160" w:lineRule="atLeast"/>
              <w:jc w:val="center"/>
              <w:rPr>
                <w:rFonts w:ascii="Times New Roman" w:hAnsi="Times New Roman"/>
                <w:sz w:val="21"/>
                <w:szCs w:val="21"/>
                <w:highlight w:val="none"/>
              </w:rPr>
            </w:pPr>
          </w:p>
        </w:tc>
        <w:tc>
          <w:tcPr>
            <w:tcW w:w="1134" w:type="dxa"/>
            <w:vMerge w:val="continue"/>
            <w:noWrap w:val="0"/>
            <w:vAlign w:val="top"/>
          </w:tcPr>
          <w:p>
            <w:pPr>
              <w:pStyle w:val="4"/>
              <w:spacing w:line="160" w:lineRule="atLeast"/>
              <w:jc w:val="center"/>
              <w:rPr>
                <w:rFonts w:ascii="Times New Roman" w:hAnsi="Times New Roman"/>
                <w:sz w:val="21"/>
                <w:szCs w:val="21"/>
                <w:highlight w:val="none"/>
              </w:rPr>
            </w:pPr>
          </w:p>
        </w:tc>
        <w:tc>
          <w:tcPr>
            <w:tcW w:w="567" w:type="dxa"/>
            <w:vMerge w:val="continue"/>
            <w:noWrap w:val="0"/>
            <w:vAlign w:val="center"/>
          </w:tcPr>
          <w:p>
            <w:pPr>
              <w:pStyle w:val="4"/>
              <w:spacing w:line="160" w:lineRule="atLeast"/>
              <w:jc w:val="center"/>
              <w:rPr>
                <w:rFonts w:ascii="Times New Roman" w:hAnsi="Times New Roman"/>
                <w:sz w:val="21"/>
                <w:szCs w:val="21"/>
                <w:highlight w:val="none"/>
              </w:rPr>
            </w:pPr>
          </w:p>
        </w:tc>
        <w:tc>
          <w:tcPr>
            <w:tcW w:w="5845" w:type="dxa"/>
            <w:noWrap w:val="0"/>
            <w:vAlign w:val="center"/>
          </w:tcPr>
          <w:p>
            <w:pPr>
              <w:pStyle w:val="4"/>
              <w:spacing w:line="300" w:lineRule="exact"/>
              <w:jc w:val="left"/>
              <w:rPr>
                <w:rFonts w:ascii="Times New Roman" w:hAnsi="Times New Roman"/>
                <w:sz w:val="21"/>
                <w:szCs w:val="21"/>
                <w:highlight w:val="none"/>
              </w:rPr>
            </w:pPr>
            <w:r>
              <w:rPr>
                <w:rFonts w:hint="eastAsia" w:ascii="Times New Roman" w:hAnsi="Times New Roman"/>
                <w:sz w:val="21"/>
                <w:szCs w:val="21"/>
                <w:highlight w:val="none"/>
              </w:rPr>
              <w:t>交通组织方案较合理可行、较完善，得</w:t>
            </w:r>
            <w:r>
              <w:rPr>
                <w:rFonts w:hint="eastAsia" w:ascii="Times New Roman" w:hAnsi="Times New Roman"/>
                <w:sz w:val="21"/>
                <w:szCs w:val="21"/>
                <w:highlight w:val="none"/>
                <w:lang w:val="en-US" w:eastAsia="zh-CN"/>
              </w:rPr>
              <w:t>3-4</w:t>
            </w:r>
            <w:r>
              <w:rPr>
                <w:rFonts w:hint="eastAsia"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624" w:type="dxa"/>
            <w:vMerge w:val="continue"/>
            <w:noWrap w:val="0"/>
            <w:vAlign w:val="top"/>
          </w:tcPr>
          <w:p>
            <w:pPr>
              <w:pStyle w:val="4"/>
              <w:spacing w:line="160" w:lineRule="atLeast"/>
              <w:jc w:val="center"/>
              <w:rPr>
                <w:rFonts w:ascii="Times New Roman" w:hAnsi="Times New Roman"/>
                <w:sz w:val="21"/>
                <w:szCs w:val="21"/>
                <w:highlight w:val="none"/>
              </w:rPr>
            </w:pPr>
          </w:p>
        </w:tc>
        <w:tc>
          <w:tcPr>
            <w:tcW w:w="1134" w:type="dxa"/>
            <w:vMerge w:val="continue"/>
            <w:noWrap w:val="0"/>
            <w:vAlign w:val="top"/>
          </w:tcPr>
          <w:p>
            <w:pPr>
              <w:pStyle w:val="4"/>
              <w:spacing w:line="160" w:lineRule="atLeast"/>
              <w:jc w:val="center"/>
              <w:rPr>
                <w:rFonts w:ascii="Times New Roman" w:hAnsi="Times New Roman"/>
                <w:sz w:val="21"/>
                <w:szCs w:val="21"/>
                <w:highlight w:val="none"/>
              </w:rPr>
            </w:pPr>
          </w:p>
        </w:tc>
        <w:tc>
          <w:tcPr>
            <w:tcW w:w="567" w:type="dxa"/>
            <w:vMerge w:val="continue"/>
            <w:noWrap w:val="0"/>
            <w:vAlign w:val="center"/>
          </w:tcPr>
          <w:p>
            <w:pPr>
              <w:pStyle w:val="4"/>
              <w:spacing w:line="160" w:lineRule="atLeast"/>
              <w:jc w:val="center"/>
              <w:rPr>
                <w:rFonts w:ascii="Times New Roman" w:hAnsi="Times New Roman"/>
                <w:sz w:val="21"/>
                <w:szCs w:val="21"/>
                <w:highlight w:val="none"/>
              </w:rPr>
            </w:pPr>
          </w:p>
        </w:tc>
        <w:tc>
          <w:tcPr>
            <w:tcW w:w="5845" w:type="dxa"/>
            <w:noWrap w:val="0"/>
            <w:vAlign w:val="center"/>
          </w:tcPr>
          <w:p>
            <w:pPr>
              <w:pStyle w:val="4"/>
              <w:spacing w:line="300" w:lineRule="exact"/>
              <w:jc w:val="left"/>
              <w:rPr>
                <w:rFonts w:ascii="Times New Roman" w:hAnsi="Times New Roman"/>
                <w:sz w:val="21"/>
                <w:szCs w:val="21"/>
                <w:highlight w:val="none"/>
              </w:rPr>
            </w:pPr>
            <w:r>
              <w:rPr>
                <w:rFonts w:hint="eastAsia" w:ascii="Times New Roman" w:hAnsi="Times New Roman"/>
                <w:sz w:val="21"/>
                <w:szCs w:val="21"/>
                <w:highlight w:val="none"/>
              </w:rPr>
              <w:t>交通组织方案合理可行、完善、可实施性强，得</w:t>
            </w:r>
            <w:r>
              <w:rPr>
                <w:rFonts w:hint="eastAsia" w:ascii="Times New Roman" w:hAnsi="Times New Roman"/>
                <w:sz w:val="21"/>
                <w:szCs w:val="21"/>
                <w:highlight w:val="none"/>
                <w:lang w:val="en-US" w:eastAsia="zh-CN"/>
              </w:rPr>
              <w:t>4-5</w:t>
            </w:r>
            <w:r>
              <w:rPr>
                <w:rFonts w:hint="eastAsia" w:ascii="Times New Roman" w:hAnsi="Times New Roman"/>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center"/>
          </w:tcPr>
          <w:p>
            <w:pPr>
              <w:pStyle w:val="4"/>
              <w:spacing w:line="160" w:lineRule="atLeast"/>
              <w:jc w:val="center"/>
              <w:rPr>
                <w:rFonts w:ascii="Times New Roman" w:hAnsi="Times New Roman"/>
                <w:sz w:val="21"/>
                <w:szCs w:val="21"/>
                <w:highlight w:val="none"/>
              </w:rPr>
            </w:pPr>
          </w:p>
        </w:tc>
        <w:tc>
          <w:tcPr>
            <w:tcW w:w="741" w:type="dxa"/>
            <w:vMerge w:val="continue"/>
            <w:noWrap w:val="0"/>
            <w:vAlign w:val="center"/>
          </w:tcPr>
          <w:p>
            <w:pPr>
              <w:pStyle w:val="4"/>
              <w:spacing w:line="160" w:lineRule="atLeast"/>
              <w:jc w:val="center"/>
              <w:rPr>
                <w:rFonts w:ascii="Times New Roman" w:hAnsi="Times New Roman"/>
                <w:sz w:val="21"/>
                <w:szCs w:val="21"/>
                <w:highlight w:val="none"/>
              </w:rPr>
            </w:pPr>
          </w:p>
        </w:tc>
        <w:tc>
          <w:tcPr>
            <w:tcW w:w="624" w:type="dxa"/>
            <w:vMerge w:val="continue"/>
            <w:noWrap w:val="0"/>
            <w:vAlign w:val="center"/>
          </w:tcPr>
          <w:p>
            <w:pPr>
              <w:pStyle w:val="4"/>
              <w:spacing w:line="160" w:lineRule="atLeast"/>
              <w:jc w:val="center"/>
              <w:rPr>
                <w:rFonts w:ascii="Times New Roman" w:hAnsi="Times New Roman"/>
                <w:sz w:val="21"/>
                <w:szCs w:val="21"/>
                <w:highlight w:val="none"/>
              </w:rPr>
            </w:pPr>
          </w:p>
        </w:tc>
        <w:tc>
          <w:tcPr>
            <w:tcW w:w="1134" w:type="dxa"/>
            <w:vMerge w:val="restart"/>
            <w:noWrap w:val="0"/>
            <w:vAlign w:val="center"/>
          </w:tcPr>
          <w:p>
            <w:pPr>
              <w:pStyle w:val="4"/>
              <w:spacing w:line="160" w:lineRule="atLeast"/>
              <w:jc w:val="center"/>
              <w:rPr>
                <w:rFonts w:ascii="Times New Roman" w:hAnsi="Times New Roman"/>
                <w:sz w:val="21"/>
                <w:szCs w:val="21"/>
                <w:highlight w:val="none"/>
              </w:rPr>
            </w:pPr>
            <w:r>
              <w:rPr>
                <w:rFonts w:ascii="Times New Roman" w:hAnsi="Times New Roman"/>
                <w:sz w:val="21"/>
                <w:szCs w:val="21"/>
                <w:highlight w:val="none"/>
              </w:rPr>
              <w:t>后续服务的安排及保证措施</w:t>
            </w:r>
          </w:p>
        </w:tc>
        <w:tc>
          <w:tcPr>
            <w:tcW w:w="567" w:type="dxa"/>
            <w:vMerge w:val="restart"/>
            <w:noWrap w:val="0"/>
            <w:vAlign w:val="center"/>
          </w:tcPr>
          <w:p>
            <w:pPr>
              <w:pStyle w:val="4"/>
              <w:spacing w:line="160" w:lineRule="atLeast"/>
              <w:jc w:val="center"/>
              <w:rPr>
                <w:rFonts w:ascii="Times New Roman" w:hAnsi="Times New Roman"/>
                <w:sz w:val="21"/>
                <w:szCs w:val="21"/>
                <w:highlight w:val="none"/>
              </w:rPr>
            </w:pPr>
            <w:r>
              <w:rPr>
                <w:rFonts w:ascii="Times New Roman" w:hAnsi="Times New Roman"/>
                <w:sz w:val="21"/>
                <w:szCs w:val="21"/>
                <w:highlight w:val="none"/>
              </w:rPr>
              <w:t>5分</w:t>
            </w:r>
          </w:p>
        </w:tc>
        <w:tc>
          <w:tcPr>
            <w:tcW w:w="5845" w:type="dxa"/>
            <w:noWrap w:val="0"/>
            <w:vAlign w:val="center"/>
          </w:tcPr>
          <w:p>
            <w:pPr>
              <w:jc w:val="left"/>
              <w:rPr>
                <w:kern w:val="2"/>
                <w:sz w:val="21"/>
                <w:szCs w:val="21"/>
                <w:highlight w:val="none"/>
              </w:rPr>
            </w:pPr>
            <w:r>
              <w:rPr>
                <w:kern w:val="2"/>
                <w:sz w:val="21"/>
                <w:szCs w:val="21"/>
                <w:highlight w:val="none"/>
              </w:rPr>
              <w:t>投标人对于后续服务的承诺及保证措施安排一般，得3分；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741" w:type="dxa"/>
            <w:vMerge w:val="continue"/>
            <w:noWrap w:val="0"/>
            <w:vAlign w:val="top"/>
          </w:tcPr>
          <w:p>
            <w:pPr>
              <w:pStyle w:val="4"/>
              <w:spacing w:line="160" w:lineRule="atLeast"/>
              <w:rPr>
                <w:rFonts w:ascii="Times New Roman" w:hAnsi="Times New Roman"/>
                <w:sz w:val="21"/>
                <w:szCs w:val="21"/>
                <w:highlight w:val="none"/>
              </w:rPr>
            </w:pPr>
          </w:p>
        </w:tc>
        <w:tc>
          <w:tcPr>
            <w:tcW w:w="624" w:type="dxa"/>
            <w:vMerge w:val="continue"/>
            <w:noWrap w:val="0"/>
            <w:vAlign w:val="top"/>
          </w:tcPr>
          <w:p>
            <w:pPr>
              <w:pStyle w:val="4"/>
              <w:spacing w:line="160" w:lineRule="atLeast"/>
              <w:rPr>
                <w:rFonts w:ascii="Times New Roman" w:hAnsi="Times New Roman"/>
                <w:sz w:val="21"/>
                <w:szCs w:val="21"/>
                <w:highlight w:val="none"/>
              </w:rPr>
            </w:pPr>
          </w:p>
        </w:tc>
        <w:tc>
          <w:tcPr>
            <w:tcW w:w="1134" w:type="dxa"/>
            <w:vMerge w:val="continue"/>
            <w:noWrap w:val="0"/>
            <w:vAlign w:val="center"/>
          </w:tcPr>
          <w:p>
            <w:pPr>
              <w:pStyle w:val="4"/>
              <w:spacing w:line="160" w:lineRule="atLeast"/>
              <w:jc w:val="center"/>
              <w:rPr>
                <w:rFonts w:ascii="Times New Roman" w:hAnsi="Times New Roman"/>
                <w:sz w:val="21"/>
                <w:szCs w:val="21"/>
                <w:highlight w:val="none"/>
              </w:rPr>
            </w:pPr>
          </w:p>
        </w:tc>
        <w:tc>
          <w:tcPr>
            <w:tcW w:w="567" w:type="dxa"/>
            <w:vMerge w:val="continue"/>
            <w:noWrap w:val="0"/>
            <w:vAlign w:val="center"/>
          </w:tcPr>
          <w:p>
            <w:pPr>
              <w:pStyle w:val="4"/>
              <w:spacing w:line="160" w:lineRule="atLeast"/>
              <w:jc w:val="center"/>
              <w:rPr>
                <w:rFonts w:ascii="Times New Roman" w:hAnsi="Times New Roman"/>
                <w:sz w:val="21"/>
                <w:szCs w:val="21"/>
                <w:highlight w:val="none"/>
              </w:rPr>
            </w:pPr>
          </w:p>
        </w:tc>
        <w:tc>
          <w:tcPr>
            <w:tcW w:w="5845" w:type="dxa"/>
            <w:noWrap w:val="0"/>
            <w:vAlign w:val="center"/>
          </w:tcPr>
          <w:p>
            <w:pPr>
              <w:jc w:val="left"/>
              <w:rPr>
                <w:kern w:val="2"/>
                <w:sz w:val="21"/>
                <w:szCs w:val="21"/>
                <w:highlight w:val="none"/>
              </w:rPr>
            </w:pPr>
            <w:r>
              <w:rPr>
                <w:kern w:val="2"/>
                <w:sz w:val="21"/>
                <w:szCs w:val="21"/>
                <w:highlight w:val="none"/>
              </w:rPr>
              <w:t>投标人对于后续服务的承诺及保证措施安排较完善，得3－4分；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41" w:type="dxa"/>
            <w:vMerge w:val="continue"/>
            <w:noWrap w:val="0"/>
            <w:vAlign w:val="top"/>
          </w:tcPr>
          <w:p>
            <w:pPr>
              <w:pStyle w:val="4"/>
              <w:spacing w:line="160" w:lineRule="atLeast"/>
              <w:jc w:val="center"/>
              <w:rPr>
                <w:rFonts w:ascii="Times New Roman" w:hAnsi="Times New Roman"/>
                <w:sz w:val="21"/>
                <w:szCs w:val="21"/>
                <w:highlight w:val="none"/>
              </w:rPr>
            </w:pPr>
          </w:p>
        </w:tc>
        <w:tc>
          <w:tcPr>
            <w:tcW w:w="741" w:type="dxa"/>
            <w:vMerge w:val="continue"/>
            <w:noWrap w:val="0"/>
            <w:vAlign w:val="top"/>
          </w:tcPr>
          <w:p>
            <w:pPr>
              <w:pStyle w:val="4"/>
              <w:spacing w:line="160" w:lineRule="atLeast"/>
              <w:rPr>
                <w:rFonts w:ascii="Times New Roman" w:hAnsi="Times New Roman"/>
                <w:sz w:val="21"/>
                <w:szCs w:val="21"/>
                <w:highlight w:val="none"/>
              </w:rPr>
            </w:pPr>
          </w:p>
        </w:tc>
        <w:tc>
          <w:tcPr>
            <w:tcW w:w="624" w:type="dxa"/>
            <w:vMerge w:val="continue"/>
            <w:noWrap w:val="0"/>
            <w:vAlign w:val="top"/>
          </w:tcPr>
          <w:p>
            <w:pPr>
              <w:pStyle w:val="4"/>
              <w:spacing w:line="160" w:lineRule="atLeast"/>
              <w:rPr>
                <w:rFonts w:ascii="Times New Roman" w:hAnsi="Times New Roman"/>
                <w:sz w:val="21"/>
                <w:szCs w:val="21"/>
                <w:highlight w:val="none"/>
              </w:rPr>
            </w:pPr>
          </w:p>
        </w:tc>
        <w:tc>
          <w:tcPr>
            <w:tcW w:w="1134" w:type="dxa"/>
            <w:vMerge w:val="continue"/>
            <w:tcBorders>
              <w:bottom w:val="single" w:color="auto" w:sz="4" w:space="0"/>
            </w:tcBorders>
            <w:noWrap w:val="0"/>
            <w:vAlign w:val="center"/>
          </w:tcPr>
          <w:p>
            <w:pPr>
              <w:pStyle w:val="4"/>
              <w:spacing w:line="160" w:lineRule="atLeast"/>
              <w:jc w:val="center"/>
              <w:rPr>
                <w:rFonts w:ascii="Times New Roman" w:hAnsi="Times New Roman"/>
                <w:sz w:val="21"/>
                <w:szCs w:val="21"/>
                <w:highlight w:val="none"/>
              </w:rPr>
            </w:pPr>
          </w:p>
        </w:tc>
        <w:tc>
          <w:tcPr>
            <w:tcW w:w="567" w:type="dxa"/>
            <w:vMerge w:val="continue"/>
            <w:tcBorders>
              <w:bottom w:val="single" w:color="auto" w:sz="4" w:space="0"/>
            </w:tcBorders>
            <w:noWrap w:val="0"/>
            <w:vAlign w:val="center"/>
          </w:tcPr>
          <w:p>
            <w:pPr>
              <w:pStyle w:val="4"/>
              <w:spacing w:line="160" w:lineRule="atLeast"/>
              <w:jc w:val="center"/>
              <w:rPr>
                <w:rFonts w:ascii="Times New Roman" w:hAnsi="Times New Roman"/>
                <w:sz w:val="21"/>
                <w:szCs w:val="21"/>
                <w:highlight w:val="none"/>
              </w:rPr>
            </w:pPr>
          </w:p>
        </w:tc>
        <w:tc>
          <w:tcPr>
            <w:tcW w:w="5845" w:type="dxa"/>
            <w:tcBorders>
              <w:bottom w:val="single" w:color="auto" w:sz="4" w:space="0"/>
            </w:tcBorders>
            <w:noWrap w:val="0"/>
            <w:vAlign w:val="center"/>
          </w:tcPr>
          <w:p>
            <w:pPr>
              <w:jc w:val="left"/>
              <w:rPr>
                <w:kern w:val="2"/>
                <w:sz w:val="21"/>
                <w:szCs w:val="21"/>
                <w:highlight w:val="none"/>
              </w:rPr>
            </w:pPr>
            <w:r>
              <w:rPr>
                <w:kern w:val="2"/>
                <w:sz w:val="21"/>
                <w:szCs w:val="21"/>
                <w:highlight w:val="none"/>
              </w:rPr>
              <w:t>投标人对于后续服务的承诺及保证措施安排完善合理，得4－5分。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41" w:type="dxa"/>
            <w:vMerge w:val="restart"/>
            <w:tcBorders>
              <w:top w:val="nil"/>
            </w:tcBorders>
            <w:noWrap w:val="0"/>
            <w:vAlign w:val="center"/>
          </w:tcPr>
          <w:p>
            <w:pPr>
              <w:pStyle w:val="4"/>
              <w:spacing w:line="160" w:lineRule="atLeast"/>
              <w:jc w:val="center"/>
              <w:rPr>
                <w:rFonts w:ascii="Times New Roman" w:hAnsi="Times New Roman"/>
                <w:sz w:val="21"/>
                <w:szCs w:val="21"/>
                <w:highlight w:val="none"/>
              </w:rPr>
            </w:pPr>
            <w:r>
              <w:rPr>
                <w:rFonts w:ascii="Times New Roman" w:hAnsi="Times New Roman"/>
                <w:sz w:val="21"/>
                <w:szCs w:val="21"/>
                <w:highlight w:val="none"/>
              </w:rPr>
              <w:t>2.2.4（2）</w:t>
            </w:r>
          </w:p>
        </w:tc>
        <w:tc>
          <w:tcPr>
            <w:tcW w:w="741" w:type="dxa"/>
            <w:vMerge w:val="restart"/>
            <w:tcBorders>
              <w:top w:val="nil"/>
            </w:tcBorders>
            <w:noWrap w:val="0"/>
            <w:vAlign w:val="center"/>
          </w:tcPr>
          <w:p>
            <w:pPr>
              <w:pStyle w:val="4"/>
              <w:spacing w:line="160" w:lineRule="atLeast"/>
              <w:jc w:val="center"/>
              <w:rPr>
                <w:rFonts w:ascii="Times New Roman" w:hAnsi="Times New Roman"/>
                <w:sz w:val="21"/>
                <w:szCs w:val="21"/>
                <w:highlight w:val="none"/>
              </w:rPr>
            </w:pPr>
            <w:r>
              <w:rPr>
                <w:rFonts w:ascii="Times New Roman" w:hAnsi="Times New Roman"/>
                <w:sz w:val="21"/>
                <w:szCs w:val="21"/>
                <w:highlight w:val="none"/>
              </w:rPr>
              <w:t>主要人员</w:t>
            </w:r>
          </w:p>
        </w:tc>
        <w:tc>
          <w:tcPr>
            <w:tcW w:w="624" w:type="dxa"/>
            <w:vMerge w:val="restart"/>
            <w:tcBorders>
              <w:top w:val="nil"/>
            </w:tcBorders>
            <w:noWrap w:val="0"/>
            <w:vAlign w:val="center"/>
          </w:tcPr>
          <w:p>
            <w:pPr>
              <w:pStyle w:val="4"/>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15</w:t>
            </w:r>
            <w:r>
              <w:rPr>
                <w:rFonts w:ascii="Times New Roman" w:hAnsi="Times New Roman"/>
                <w:sz w:val="21"/>
                <w:szCs w:val="21"/>
                <w:highlight w:val="none"/>
              </w:rPr>
              <w:t>分</w:t>
            </w:r>
          </w:p>
        </w:tc>
        <w:tc>
          <w:tcPr>
            <w:tcW w:w="1134" w:type="dxa"/>
            <w:vMerge w:val="restart"/>
            <w:noWrap w:val="0"/>
            <w:vAlign w:val="center"/>
          </w:tcPr>
          <w:p>
            <w:pPr>
              <w:jc w:val="center"/>
              <w:rPr>
                <w:kern w:val="2"/>
                <w:sz w:val="21"/>
                <w:szCs w:val="21"/>
                <w:highlight w:val="none"/>
              </w:rPr>
            </w:pPr>
            <w:r>
              <w:rPr>
                <w:kern w:val="2"/>
                <w:sz w:val="21"/>
                <w:szCs w:val="21"/>
                <w:highlight w:val="none"/>
              </w:rPr>
              <w:t>项目负责人</w:t>
            </w:r>
          </w:p>
        </w:tc>
        <w:tc>
          <w:tcPr>
            <w:tcW w:w="567" w:type="dxa"/>
            <w:vMerge w:val="restart"/>
            <w:noWrap w:val="0"/>
            <w:vAlign w:val="center"/>
          </w:tcPr>
          <w:p>
            <w:pPr>
              <w:pStyle w:val="4"/>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lang w:val="en-US" w:eastAsia="zh-CN"/>
              </w:rPr>
              <w:t>5</w:t>
            </w:r>
            <w:r>
              <w:rPr>
                <w:rFonts w:ascii="Times New Roman" w:hAnsi="Times New Roman"/>
                <w:sz w:val="21"/>
                <w:szCs w:val="21"/>
                <w:highlight w:val="none"/>
              </w:rPr>
              <w:t>分</w:t>
            </w:r>
          </w:p>
        </w:tc>
        <w:tc>
          <w:tcPr>
            <w:tcW w:w="5845" w:type="dxa"/>
            <w:tcBorders>
              <w:bottom w:val="single" w:color="auto" w:sz="4" w:space="0"/>
            </w:tcBorders>
            <w:noWrap w:val="0"/>
            <w:vAlign w:val="center"/>
          </w:tcPr>
          <w:p>
            <w:pPr>
              <w:pStyle w:val="2"/>
              <w:rPr>
                <w:sz w:val="21"/>
                <w:szCs w:val="21"/>
                <w:highlight w:val="none"/>
              </w:rPr>
            </w:pPr>
            <w:r>
              <w:rPr>
                <w:rFonts w:hint="eastAsia" w:ascii="宋体" w:hAnsi="宋体" w:eastAsia="宋体" w:cs="宋体"/>
                <w:sz w:val="21"/>
                <w:szCs w:val="21"/>
                <w:highlight w:val="none"/>
              </w:rPr>
              <w:t>满足“资格审查条件（项目负责人</w:t>
            </w:r>
            <w:r>
              <w:rPr>
                <w:rFonts w:hint="eastAsia" w:ascii="宋体" w:hAnsi="宋体" w:eastAsia="宋体" w:cs="宋体"/>
                <w:sz w:val="21"/>
                <w:szCs w:val="21"/>
                <w:highlight w:val="none"/>
                <w:lang w:val="en-US" w:eastAsia="zh-CN"/>
              </w:rPr>
              <w:t>和技术负责人</w:t>
            </w:r>
            <w:r>
              <w:rPr>
                <w:rFonts w:hint="eastAsia" w:ascii="宋体" w:hAnsi="宋体" w:eastAsia="宋体" w:cs="宋体"/>
                <w:sz w:val="21"/>
                <w:szCs w:val="21"/>
                <w:highlight w:val="none"/>
              </w:rPr>
              <w:t>最低要求）”</w:t>
            </w:r>
            <w:r>
              <w:rPr>
                <w:rFonts w:hint="eastAsia" w:ascii="宋体" w:hAnsi="宋体" w:eastAsia="宋体" w:cs="宋体"/>
                <w:sz w:val="21"/>
                <w:szCs w:val="21"/>
                <w:highlight w:val="none"/>
                <w:lang w:val="en-US" w:eastAsia="zh-CN"/>
              </w:rPr>
              <w:t>中的项目负责人要求的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741" w:type="dxa"/>
            <w:vMerge w:val="continue"/>
            <w:noWrap w:val="0"/>
            <w:vAlign w:val="center"/>
          </w:tcPr>
          <w:p>
            <w:pPr>
              <w:pStyle w:val="2"/>
            </w:pPr>
          </w:p>
        </w:tc>
        <w:tc>
          <w:tcPr>
            <w:tcW w:w="741" w:type="dxa"/>
            <w:vMerge w:val="continue"/>
            <w:noWrap w:val="0"/>
            <w:vAlign w:val="center"/>
          </w:tcPr>
          <w:p>
            <w:pPr>
              <w:pStyle w:val="2"/>
            </w:pPr>
          </w:p>
        </w:tc>
        <w:tc>
          <w:tcPr>
            <w:tcW w:w="624" w:type="dxa"/>
            <w:vMerge w:val="continue"/>
            <w:noWrap w:val="0"/>
            <w:vAlign w:val="center"/>
          </w:tcPr>
          <w:p>
            <w:pPr>
              <w:pStyle w:val="2"/>
            </w:pPr>
          </w:p>
        </w:tc>
        <w:tc>
          <w:tcPr>
            <w:tcW w:w="1134" w:type="dxa"/>
            <w:vMerge w:val="continue"/>
            <w:noWrap w:val="0"/>
            <w:vAlign w:val="center"/>
          </w:tcPr>
          <w:p>
            <w:pPr>
              <w:pStyle w:val="2"/>
            </w:pPr>
          </w:p>
        </w:tc>
        <w:tc>
          <w:tcPr>
            <w:tcW w:w="567" w:type="dxa"/>
            <w:vMerge w:val="continue"/>
            <w:noWrap w:val="0"/>
            <w:vAlign w:val="center"/>
          </w:tcPr>
          <w:p>
            <w:pPr>
              <w:pStyle w:val="2"/>
            </w:pPr>
          </w:p>
        </w:tc>
        <w:tc>
          <w:tcPr>
            <w:tcW w:w="5845" w:type="dxa"/>
            <w:tcBorders>
              <w:bottom w:val="single" w:color="auto" w:sz="4" w:space="0"/>
            </w:tcBorders>
            <w:noWrap w:val="0"/>
            <w:vAlign w:val="center"/>
          </w:tcPr>
          <w:p>
            <w:pPr>
              <w:pStyle w:val="2"/>
              <w:rPr>
                <w:sz w:val="21"/>
                <w:szCs w:val="21"/>
                <w:highlight w:val="none"/>
              </w:rPr>
            </w:pPr>
            <w:r>
              <w:rPr>
                <w:rFonts w:hint="eastAsia" w:ascii="宋体" w:hAnsi="宋体" w:eastAsia="宋体" w:cs="宋体"/>
                <w:sz w:val="21"/>
                <w:szCs w:val="21"/>
                <w:highlight w:val="none"/>
              </w:rPr>
              <w:t>每增加1项满足“资格审查条件（项目负责人</w:t>
            </w:r>
            <w:r>
              <w:rPr>
                <w:rFonts w:hint="eastAsia" w:ascii="宋体" w:hAnsi="宋体" w:eastAsia="宋体" w:cs="宋体"/>
                <w:sz w:val="21"/>
                <w:szCs w:val="21"/>
                <w:highlight w:val="none"/>
                <w:lang w:val="en-US" w:eastAsia="zh-CN"/>
              </w:rPr>
              <w:t>和技术负责人</w:t>
            </w:r>
            <w:r>
              <w:rPr>
                <w:rFonts w:hint="eastAsia" w:ascii="宋体" w:hAnsi="宋体" w:eastAsia="宋体" w:cs="宋体"/>
                <w:sz w:val="21"/>
                <w:szCs w:val="21"/>
                <w:highlight w:val="none"/>
              </w:rPr>
              <w:t>最低要求）”的</w:t>
            </w:r>
            <w:r>
              <w:rPr>
                <w:rFonts w:hint="eastAsia" w:ascii="宋体" w:hAnsi="宋体" w:eastAsia="宋体" w:cs="宋体"/>
                <w:sz w:val="21"/>
                <w:szCs w:val="21"/>
                <w:highlight w:val="none"/>
                <w:lang w:eastAsia="zh-CN"/>
              </w:rPr>
              <w:t>项目负责人</w:t>
            </w:r>
            <w:r>
              <w:rPr>
                <w:rFonts w:hint="eastAsia" w:ascii="宋体" w:hAnsi="宋体" w:eastAsia="宋体" w:cs="宋体"/>
                <w:sz w:val="21"/>
                <w:szCs w:val="21"/>
                <w:highlight w:val="none"/>
              </w:rPr>
              <w:t>业绩加</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分，最多加</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741" w:type="dxa"/>
            <w:vMerge w:val="continue"/>
            <w:noWrap w:val="0"/>
            <w:vAlign w:val="center"/>
          </w:tcPr>
          <w:p>
            <w:pPr>
              <w:pStyle w:val="4"/>
              <w:spacing w:line="160" w:lineRule="atLeast"/>
              <w:jc w:val="center"/>
              <w:rPr>
                <w:rFonts w:ascii="Times New Roman" w:hAnsi="Times New Roman"/>
                <w:sz w:val="21"/>
                <w:szCs w:val="21"/>
                <w:highlight w:val="none"/>
              </w:rPr>
            </w:pPr>
          </w:p>
        </w:tc>
        <w:tc>
          <w:tcPr>
            <w:tcW w:w="741" w:type="dxa"/>
            <w:vMerge w:val="continue"/>
            <w:noWrap w:val="0"/>
            <w:vAlign w:val="center"/>
          </w:tcPr>
          <w:p>
            <w:pPr>
              <w:pStyle w:val="4"/>
              <w:spacing w:line="160" w:lineRule="atLeast"/>
              <w:jc w:val="center"/>
              <w:rPr>
                <w:rFonts w:ascii="Times New Roman" w:hAnsi="Times New Roman"/>
                <w:sz w:val="21"/>
                <w:szCs w:val="21"/>
                <w:highlight w:val="none"/>
              </w:rPr>
            </w:pPr>
          </w:p>
        </w:tc>
        <w:tc>
          <w:tcPr>
            <w:tcW w:w="624" w:type="dxa"/>
            <w:vMerge w:val="continue"/>
            <w:noWrap w:val="0"/>
            <w:vAlign w:val="center"/>
          </w:tcPr>
          <w:p>
            <w:pPr>
              <w:pStyle w:val="4"/>
              <w:spacing w:line="160" w:lineRule="atLeast"/>
              <w:jc w:val="center"/>
              <w:rPr>
                <w:rFonts w:hint="eastAsia" w:ascii="Times New Roman" w:hAnsi="Times New Roman"/>
                <w:sz w:val="21"/>
                <w:szCs w:val="21"/>
                <w:highlight w:val="none"/>
                <w:lang w:val="en-US" w:eastAsia="zh-CN"/>
              </w:rPr>
            </w:pPr>
          </w:p>
        </w:tc>
        <w:tc>
          <w:tcPr>
            <w:tcW w:w="1134" w:type="dxa"/>
            <w:vMerge w:val="restart"/>
            <w:noWrap w:val="0"/>
            <w:vAlign w:val="center"/>
          </w:tcPr>
          <w:p>
            <w:pPr>
              <w:jc w:val="center"/>
              <w:rPr>
                <w:rFonts w:hint="default" w:eastAsia="宋体"/>
                <w:kern w:val="2"/>
                <w:sz w:val="21"/>
                <w:szCs w:val="21"/>
                <w:highlight w:val="none"/>
                <w:lang w:val="en-US" w:eastAsia="zh-CN"/>
              </w:rPr>
            </w:pPr>
            <w:r>
              <w:rPr>
                <w:rFonts w:hint="eastAsia"/>
                <w:kern w:val="2"/>
                <w:sz w:val="21"/>
                <w:szCs w:val="21"/>
                <w:highlight w:val="none"/>
                <w:lang w:val="en-US" w:eastAsia="zh-CN"/>
              </w:rPr>
              <w:t>技术负责人</w:t>
            </w:r>
          </w:p>
        </w:tc>
        <w:tc>
          <w:tcPr>
            <w:tcW w:w="567" w:type="dxa"/>
            <w:vMerge w:val="restart"/>
            <w:noWrap w:val="0"/>
            <w:vAlign w:val="center"/>
          </w:tcPr>
          <w:p>
            <w:pPr>
              <w:pStyle w:val="4"/>
              <w:spacing w:line="160" w:lineRule="atLeast"/>
              <w:jc w:val="center"/>
              <w:rPr>
                <w:rFonts w:hint="eastAsia" w:ascii="Times New Roman" w:hAnsi="Times New Roman"/>
                <w:sz w:val="21"/>
                <w:szCs w:val="21"/>
                <w:highlight w:val="none"/>
                <w:lang w:val="en-US" w:eastAsia="zh-CN"/>
              </w:rPr>
            </w:pPr>
            <w:r>
              <w:rPr>
                <w:rFonts w:hint="eastAsia" w:ascii="Times New Roman" w:hAnsi="Times New Roman"/>
                <w:sz w:val="21"/>
                <w:szCs w:val="21"/>
                <w:highlight w:val="none"/>
                <w:lang w:val="en-US" w:eastAsia="zh-CN"/>
              </w:rPr>
              <w:t>10</w:t>
            </w:r>
            <w:r>
              <w:rPr>
                <w:rFonts w:ascii="Times New Roman" w:hAnsi="Times New Roman"/>
                <w:sz w:val="21"/>
                <w:szCs w:val="21"/>
                <w:highlight w:val="none"/>
              </w:rPr>
              <w:t>分</w:t>
            </w:r>
          </w:p>
        </w:tc>
        <w:tc>
          <w:tcPr>
            <w:tcW w:w="5845" w:type="dxa"/>
            <w:tcBorders>
              <w:bottom w:val="single" w:color="auto" w:sz="4" w:space="0"/>
            </w:tcBorders>
            <w:noWrap w:val="0"/>
            <w:vAlign w:val="center"/>
          </w:tcPr>
          <w:p>
            <w:pPr>
              <w:pStyle w:val="2"/>
              <w:rPr>
                <w:sz w:val="21"/>
                <w:szCs w:val="21"/>
                <w:highlight w:val="none"/>
              </w:rPr>
            </w:pPr>
            <w:r>
              <w:rPr>
                <w:rFonts w:hint="eastAsia" w:ascii="宋体" w:hAnsi="宋体" w:eastAsia="宋体" w:cs="宋体"/>
                <w:sz w:val="21"/>
                <w:szCs w:val="21"/>
                <w:highlight w:val="none"/>
              </w:rPr>
              <w:t>满足“资格审查条件（项目负责人</w:t>
            </w:r>
            <w:r>
              <w:rPr>
                <w:rFonts w:hint="eastAsia" w:ascii="宋体" w:hAnsi="宋体" w:eastAsia="宋体" w:cs="宋体"/>
                <w:sz w:val="21"/>
                <w:szCs w:val="21"/>
                <w:highlight w:val="none"/>
                <w:lang w:val="en-US" w:eastAsia="zh-CN"/>
              </w:rPr>
              <w:t>和技术负责人</w:t>
            </w:r>
            <w:r>
              <w:rPr>
                <w:rFonts w:hint="eastAsia" w:ascii="宋体" w:hAnsi="宋体" w:eastAsia="宋体" w:cs="宋体"/>
                <w:sz w:val="21"/>
                <w:szCs w:val="21"/>
                <w:highlight w:val="none"/>
              </w:rPr>
              <w:t>最低要求）”</w:t>
            </w:r>
            <w:r>
              <w:rPr>
                <w:rFonts w:hint="eastAsia" w:ascii="宋体" w:hAnsi="宋体" w:eastAsia="宋体" w:cs="宋体"/>
                <w:sz w:val="21"/>
                <w:szCs w:val="21"/>
                <w:highlight w:val="none"/>
                <w:lang w:val="en-US" w:eastAsia="zh-CN"/>
              </w:rPr>
              <w:t>中的技术负责人要求的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2" w:hRule="atLeast"/>
          <w:jc w:val="center"/>
        </w:trPr>
        <w:tc>
          <w:tcPr>
            <w:tcW w:w="741" w:type="dxa"/>
            <w:vMerge w:val="continue"/>
            <w:noWrap w:val="0"/>
            <w:vAlign w:val="center"/>
          </w:tcPr>
          <w:p>
            <w:pPr>
              <w:pStyle w:val="2"/>
            </w:pPr>
          </w:p>
        </w:tc>
        <w:tc>
          <w:tcPr>
            <w:tcW w:w="741" w:type="dxa"/>
            <w:vMerge w:val="continue"/>
            <w:noWrap w:val="0"/>
            <w:vAlign w:val="center"/>
          </w:tcPr>
          <w:p>
            <w:pPr>
              <w:pStyle w:val="2"/>
            </w:pPr>
          </w:p>
        </w:tc>
        <w:tc>
          <w:tcPr>
            <w:tcW w:w="624" w:type="dxa"/>
            <w:vMerge w:val="continue"/>
            <w:noWrap w:val="0"/>
            <w:vAlign w:val="center"/>
          </w:tcPr>
          <w:p>
            <w:pPr>
              <w:pStyle w:val="2"/>
            </w:pPr>
          </w:p>
        </w:tc>
        <w:tc>
          <w:tcPr>
            <w:tcW w:w="1134" w:type="dxa"/>
            <w:vMerge w:val="continue"/>
            <w:noWrap w:val="0"/>
            <w:vAlign w:val="center"/>
          </w:tcPr>
          <w:p>
            <w:pPr>
              <w:pStyle w:val="2"/>
            </w:pPr>
          </w:p>
        </w:tc>
        <w:tc>
          <w:tcPr>
            <w:tcW w:w="567" w:type="dxa"/>
            <w:vMerge w:val="continue"/>
            <w:noWrap w:val="0"/>
            <w:vAlign w:val="center"/>
          </w:tcPr>
          <w:p>
            <w:pPr>
              <w:pStyle w:val="2"/>
            </w:pPr>
          </w:p>
        </w:tc>
        <w:tc>
          <w:tcPr>
            <w:tcW w:w="5845" w:type="dxa"/>
            <w:tcBorders>
              <w:bottom w:val="single" w:color="auto" w:sz="4" w:space="0"/>
            </w:tcBorders>
            <w:noWrap w:val="0"/>
            <w:vAlign w:val="center"/>
          </w:tcPr>
          <w:p>
            <w:pPr>
              <w:pStyle w:val="2"/>
              <w:rPr>
                <w:sz w:val="21"/>
                <w:szCs w:val="21"/>
                <w:highlight w:val="none"/>
              </w:rPr>
            </w:pPr>
            <w:r>
              <w:rPr>
                <w:rFonts w:hint="eastAsia" w:ascii="宋体" w:hAnsi="宋体" w:eastAsia="宋体" w:cs="宋体"/>
                <w:sz w:val="21"/>
                <w:szCs w:val="21"/>
                <w:highlight w:val="none"/>
              </w:rPr>
              <w:t>每增加1项满足“资格审查条件（项目负责人最低要求）”的</w:t>
            </w:r>
            <w:r>
              <w:rPr>
                <w:rFonts w:hint="eastAsia" w:ascii="宋体" w:hAnsi="宋体" w:eastAsia="宋体" w:cs="宋体"/>
                <w:sz w:val="21"/>
                <w:szCs w:val="21"/>
                <w:highlight w:val="none"/>
                <w:lang w:eastAsia="zh-CN"/>
              </w:rPr>
              <w:t>技术负责人</w:t>
            </w:r>
            <w:r>
              <w:rPr>
                <w:rFonts w:hint="eastAsia" w:ascii="宋体" w:hAnsi="宋体" w:eastAsia="宋体" w:cs="宋体"/>
                <w:sz w:val="21"/>
                <w:szCs w:val="21"/>
                <w:highlight w:val="none"/>
              </w:rPr>
              <w:t>业绩加</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分，最多加</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741" w:type="dxa"/>
            <w:tcBorders>
              <w:top w:val="nil"/>
            </w:tcBorders>
            <w:noWrap w:val="0"/>
            <w:vAlign w:val="center"/>
          </w:tcPr>
          <w:p>
            <w:pPr>
              <w:pStyle w:val="4"/>
              <w:spacing w:line="160" w:lineRule="atLeast"/>
              <w:jc w:val="center"/>
              <w:rPr>
                <w:rFonts w:ascii="Times New Roman" w:hAnsi="Times New Roman"/>
                <w:sz w:val="21"/>
                <w:szCs w:val="21"/>
                <w:highlight w:val="none"/>
              </w:rPr>
            </w:pPr>
            <w:r>
              <w:rPr>
                <w:rFonts w:ascii="Times New Roman" w:hAnsi="Times New Roman"/>
                <w:sz w:val="21"/>
                <w:szCs w:val="21"/>
                <w:highlight w:val="none"/>
              </w:rPr>
              <w:t>2.2.4（3）</w:t>
            </w:r>
          </w:p>
        </w:tc>
        <w:tc>
          <w:tcPr>
            <w:tcW w:w="741" w:type="dxa"/>
            <w:tcBorders>
              <w:top w:val="nil"/>
            </w:tcBorders>
            <w:noWrap w:val="0"/>
            <w:vAlign w:val="center"/>
          </w:tcPr>
          <w:p>
            <w:pPr>
              <w:pStyle w:val="4"/>
              <w:spacing w:line="160" w:lineRule="atLeast"/>
              <w:jc w:val="center"/>
              <w:rPr>
                <w:rFonts w:ascii="Times New Roman" w:hAnsi="Times New Roman"/>
                <w:sz w:val="21"/>
                <w:szCs w:val="21"/>
                <w:highlight w:val="none"/>
              </w:rPr>
            </w:pPr>
            <w:r>
              <w:rPr>
                <w:rFonts w:ascii="Times New Roman" w:hAnsi="Times New Roman"/>
                <w:sz w:val="21"/>
                <w:szCs w:val="21"/>
                <w:highlight w:val="none"/>
              </w:rPr>
              <w:t>评标价</w:t>
            </w:r>
          </w:p>
        </w:tc>
        <w:tc>
          <w:tcPr>
            <w:tcW w:w="624" w:type="dxa"/>
            <w:tcBorders>
              <w:top w:val="nil"/>
              <w:bottom w:val="single" w:color="auto" w:sz="4" w:space="0"/>
            </w:tcBorders>
            <w:noWrap w:val="0"/>
            <w:vAlign w:val="center"/>
          </w:tcPr>
          <w:p>
            <w:pPr>
              <w:pStyle w:val="4"/>
              <w:spacing w:line="160" w:lineRule="atLeast"/>
              <w:jc w:val="center"/>
              <w:rPr>
                <w:rFonts w:ascii="Times New Roman" w:hAnsi="Times New Roman"/>
                <w:sz w:val="21"/>
                <w:szCs w:val="21"/>
                <w:highlight w:val="none"/>
              </w:rPr>
            </w:pPr>
            <w:r>
              <w:rPr>
                <w:rFonts w:hint="eastAsia" w:ascii="Times New Roman" w:hAnsi="Times New Roman"/>
                <w:sz w:val="21"/>
                <w:szCs w:val="21"/>
                <w:highlight w:val="none"/>
              </w:rPr>
              <w:t>3</w:t>
            </w:r>
            <w:r>
              <w:rPr>
                <w:rFonts w:ascii="Times New Roman" w:hAnsi="Times New Roman"/>
                <w:sz w:val="21"/>
                <w:szCs w:val="21"/>
                <w:highlight w:val="none"/>
              </w:rPr>
              <w:t>0分</w:t>
            </w:r>
          </w:p>
        </w:tc>
        <w:tc>
          <w:tcPr>
            <w:tcW w:w="7546" w:type="dxa"/>
            <w:gridSpan w:val="3"/>
            <w:tcBorders>
              <w:bottom w:val="single" w:color="auto" w:sz="4" w:space="0"/>
            </w:tcBorders>
            <w:noWrap w:val="0"/>
            <w:vAlign w:val="center"/>
          </w:tcPr>
          <w:p>
            <w:pPr>
              <w:rPr>
                <w:kern w:val="2"/>
                <w:sz w:val="21"/>
                <w:szCs w:val="21"/>
                <w:highlight w:val="none"/>
              </w:rPr>
            </w:pPr>
            <w:r>
              <w:rPr>
                <w:kern w:val="2"/>
                <w:sz w:val="21"/>
                <w:szCs w:val="21"/>
                <w:highlight w:val="none"/>
              </w:rPr>
              <w:t>评标价得分计算公式示例：</w:t>
            </w:r>
          </w:p>
          <w:p>
            <w:pPr>
              <w:rPr>
                <w:kern w:val="2"/>
                <w:sz w:val="21"/>
                <w:szCs w:val="21"/>
                <w:highlight w:val="none"/>
              </w:rPr>
            </w:pPr>
            <w:r>
              <w:rPr>
                <w:kern w:val="2"/>
                <w:sz w:val="21"/>
                <w:szCs w:val="21"/>
                <w:highlight w:val="none"/>
              </w:rPr>
              <w:t>（1）如果投标人的评标价＞评标基准价，则评标价得分=F-（投标人评标价-评标基准价）/评标基准价×100×E1；</w:t>
            </w:r>
          </w:p>
          <w:p>
            <w:pPr>
              <w:rPr>
                <w:kern w:val="2"/>
                <w:sz w:val="21"/>
                <w:szCs w:val="21"/>
                <w:highlight w:val="none"/>
              </w:rPr>
            </w:pPr>
            <w:r>
              <w:rPr>
                <w:kern w:val="2"/>
                <w:sz w:val="21"/>
                <w:szCs w:val="21"/>
                <w:highlight w:val="none"/>
              </w:rPr>
              <w:t>（2）如果投标人的评标价≤评标基准价，则评标价得分=F+（投标人评标价-评标基准价）/评标基准价×100×E2。</w:t>
            </w:r>
          </w:p>
          <w:p>
            <w:pPr>
              <w:jc w:val="left"/>
              <w:rPr>
                <w:sz w:val="21"/>
                <w:szCs w:val="21"/>
                <w:highlight w:val="none"/>
              </w:rPr>
            </w:pPr>
            <w:r>
              <w:rPr>
                <w:sz w:val="21"/>
                <w:szCs w:val="21"/>
                <w:highlight w:val="none"/>
              </w:rPr>
              <w:t>其中，F=</w:t>
            </w:r>
            <w:r>
              <w:rPr>
                <w:rFonts w:hint="eastAsia"/>
                <w:sz w:val="21"/>
                <w:szCs w:val="21"/>
                <w:highlight w:val="none"/>
              </w:rPr>
              <w:t>3</w:t>
            </w:r>
            <w:r>
              <w:rPr>
                <w:sz w:val="21"/>
                <w:szCs w:val="21"/>
                <w:highlight w:val="none"/>
              </w:rPr>
              <w:t>0；E1=0.</w:t>
            </w:r>
            <w:r>
              <w:rPr>
                <w:rFonts w:hint="eastAsia"/>
                <w:sz w:val="21"/>
                <w:szCs w:val="21"/>
                <w:highlight w:val="none"/>
              </w:rPr>
              <w:t>2</w:t>
            </w:r>
            <w:r>
              <w:rPr>
                <w:sz w:val="21"/>
                <w:szCs w:val="21"/>
                <w:highlight w:val="none"/>
              </w:rPr>
              <w:t>；E2=0.</w:t>
            </w:r>
            <w:r>
              <w:rPr>
                <w:rFonts w:hint="eastAsia"/>
                <w:sz w:val="21"/>
                <w:szCs w:val="21"/>
                <w:highlight w:val="none"/>
              </w:rPr>
              <w:t>1</w:t>
            </w:r>
            <w:r>
              <w:rPr>
                <w:sz w:val="21"/>
                <w:szCs w:val="21"/>
                <w:highlight w:val="none"/>
              </w:rPr>
              <w:t>；评标价最低得分为0分。</w:t>
            </w:r>
          </w:p>
          <w:p>
            <w:pPr>
              <w:jc w:val="left"/>
              <w:rPr>
                <w:kern w:val="2"/>
                <w:sz w:val="21"/>
                <w:szCs w:val="21"/>
                <w:highlight w:val="none"/>
              </w:rPr>
            </w:pPr>
            <w:r>
              <w:rPr>
                <w:kern w:val="2"/>
                <w:sz w:val="21"/>
                <w:szCs w:val="21"/>
                <w:highlight w:val="none"/>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41" w:type="dxa"/>
            <w:vMerge w:val="restart"/>
            <w:noWrap w:val="0"/>
            <w:vAlign w:val="center"/>
          </w:tcPr>
          <w:p>
            <w:pPr>
              <w:pStyle w:val="4"/>
              <w:spacing w:line="160" w:lineRule="atLeast"/>
              <w:jc w:val="center"/>
              <w:rPr>
                <w:rFonts w:ascii="Times New Roman" w:hAnsi="Times New Roman"/>
                <w:sz w:val="21"/>
                <w:szCs w:val="21"/>
                <w:highlight w:val="none"/>
              </w:rPr>
            </w:pPr>
            <w:r>
              <w:rPr>
                <w:rFonts w:ascii="Times New Roman" w:hAnsi="Times New Roman"/>
                <w:sz w:val="21"/>
                <w:szCs w:val="21"/>
                <w:highlight w:val="none"/>
              </w:rPr>
              <w:t>2.2.4（4）</w:t>
            </w:r>
          </w:p>
        </w:tc>
        <w:tc>
          <w:tcPr>
            <w:tcW w:w="741" w:type="dxa"/>
            <w:vMerge w:val="restart"/>
            <w:noWrap w:val="0"/>
            <w:vAlign w:val="center"/>
          </w:tcPr>
          <w:p>
            <w:pPr>
              <w:pStyle w:val="4"/>
              <w:spacing w:line="160" w:lineRule="atLeast"/>
              <w:jc w:val="center"/>
              <w:rPr>
                <w:rFonts w:ascii="Times New Roman" w:hAnsi="Times New Roman"/>
                <w:sz w:val="21"/>
                <w:szCs w:val="21"/>
                <w:highlight w:val="none"/>
              </w:rPr>
            </w:pPr>
            <w:r>
              <w:rPr>
                <w:rFonts w:ascii="Times New Roman" w:hAnsi="Times New Roman"/>
                <w:sz w:val="21"/>
                <w:szCs w:val="21"/>
                <w:highlight w:val="none"/>
              </w:rPr>
              <w:t>其他因素</w:t>
            </w:r>
          </w:p>
        </w:tc>
        <w:tc>
          <w:tcPr>
            <w:tcW w:w="624" w:type="dxa"/>
            <w:vMerge w:val="restart"/>
            <w:tcBorders>
              <w:top w:val="single" w:color="auto" w:sz="4" w:space="0"/>
            </w:tcBorders>
            <w:noWrap w:val="0"/>
            <w:vAlign w:val="center"/>
          </w:tcPr>
          <w:p>
            <w:pPr>
              <w:pStyle w:val="4"/>
              <w:spacing w:line="160" w:lineRule="atLeast"/>
              <w:jc w:val="center"/>
              <w:rPr>
                <w:rFonts w:ascii="Times New Roman" w:hAnsi="Times New Roman"/>
                <w:sz w:val="21"/>
                <w:szCs w:val="21"/>
                <w:highlight w:val="none"/>
              </w:rPr>
            </w:pPr>
            <w:r>
              <w:rPr>
                <w:rFonts w:ascii="Times New Roman" w:hAnsi="Times New Roman"/>
                <w:sz w:val="21"/>
                <w:szCs w:val="21"/>
                <w:highlight w:val="none"/>
              </w:rPr>
              <w:t>2</w:t>
            </w:r>
            <w:r>
              <w:rPr>
                <w:rFonts w:hint="eastAsia" w:ascii="Times New Roman" w:hAnsi="Times New Roman"/>
                <w:sz w:val="21"/>
                <w:szCs w:val="21"/>
                <w:highlight w:val="none"/>
              </w:rPr>
              <w:t>0</w:t>
            </w:r>
            <w:r>
              <w:rPr>
                <w:rFonts w:ascii="Times New Roman" w:hAnsi="Times New Roman"/>
                <w:sz w:val="21"/>
                <w:szCs w:val="21"/>
                <w:highlight w:val="none"/>
              </w:rPr>
              <w:t>分</w:t>
            </w:r>
          </w:p>
        </w:tc>
        <w:tc>
          <w:tcPr>
            <w:tcW w:w="1134" w:type="dxa"/>
            <w:vMerge w:val="restart"/>
            <w:tcBorders>
              <w:top w:val="single" w:color="auto" w:sz="4" w:space="0"/>
            </w:tcBorders>
            <w:noWrap w:val="0"/>
            <w:vAlign w:val="center"/>
          </w:tcPr>
          <w:p>
            <w:pPr>
              <w:pStyle w:val="4"/>
              <w:spacing w:line="160" w:lineRule="atLeast"/>
              <w:jc w:val="center"/>
              <w:rPr>
                <w:rFonts w:ascii="Times New Roman" w:hAnsi="Times New Roman"/>
                <w:sz w:val="21"/>
                <w:szCs w:val="21"/>
                <w:highlight w:val="none"/>
              </w:rPr>
            </w:pPr>
            <w:r>
              <w:rPr>
                <w:rFonts w:ascii="Times New Roman" w:hAnsi="Times New Roman"/>
                <w:sz w:val="21"/>
                <w:szCs w:val="21"/>
                <w:highlight w:val="none"/>
              </w:rPr>
              <w:t>业绩</w:t>
            </w:r>
          </w:p>
        </w:tc>
        <w:tc>
          <w:tcPr>
            <w:tcW w:w="567" w:type="dxa"/>
            <w:vMerge w:val="restart"/>
            <w:tcBorders>
              <w:top w:val="single" w:color="auto" w:sz="4" w:space="0"/>
            </w:tcBorders>
            <w:noWrap w:val="0"/>
            <w:vAlign w:val="center"/>
          </w:tcPr>
          <w:p>
            <w:pPr>
              <w:pStyle w:val="4"/>
              <w:spacing w:line="160" w:lineRule="atLeast"/>
              <w:jc w:val="center"/>
              <w:rPr>
                <w:rFonts w:ascii="Times New Roman" w:hAnsi="Times New Roman"/>
                <w:sz w:val="21"/>
                <w:szCs w:val="21"/>
                <w:highlight w:val="none"/>
              </w:rPr>
            </w:pPr>
            <w:r>
              <w:rPr>
                <w:rFonts w:ascii="Times New Roman" w:hAnsi="Times New Roman"/>
                <w:sz w:val="21"/>
                <w:szCs w:val="21"/>
                <w:highlight w:val="none"/>
              </w:rPr>
              <w:t>2</w:t>
            </w:r>
            <w:r>
              <w:rPr>
                <w:rFonts w:hint="eastAsia" w:ascii="Times New Roman" w:hAnsi="Times New Roman"/>
                <w:sz w:val="21"/>
                <w:szCs w:val="21"/>
                <w:highlight w:val="none"/>
              </w:rPr>
              <w:t>0</w:t>
            </w:r>
            <w:r>
              <w:rPr>
                <w:rFonts w:ascii="Times New Roman" w:hAnsi="Times New Roman"/>
                <w:sz w:val="21"/>
                <w:szCs w:val="21"/>
                <w:highlight w:val="none"/>
              </w:rPr>
              <w:t>分</w:t>
            </w:r>
          </w:p>
        </w:tc>
        <w:tc>
          <w:tcPr>
            <w:tcW w:w="5845" w:type="dxa"/>
            <w:tcBorders>
              <w:top w:val="single" w:color="auto" w:sz="4" w:space="0"/>
            </w:tcBorders>
            <w:noWrap w:val="0"/>
            <w:vAlign w:val="center"/>
          </w:tcPr>
          <w:p>
            <w:pPr>
              <w:rPr>
                <w:kern w:val="2"/>
                <w:sz w:val="21"/>
                <w:szCs w:val="21"/>
                <w:highlight w:val="none"/>
              </w:rPr>
            </w:pPr>
            <w:r>
              <w:rPr>
                <w:rFonts w:hint="eastAsia" w:ascii="宋体" w:hAnsi="宋体" w:eastAsia="宋体" w:cs="宋体"/>
                <w:kern w:val="2"/>
                <w:sz w:val="21"/>
                <w:szCs w:val="21"/>
                <w:highlight w:val="none"/>
              </w:rPr>
              <w:t>满足“资格审查条件（业绩最低要求）”得12分；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41" w:type="dxa"/>
            <w:vMerge w:val="continue"/>
            <w:noWrap w:val="0"/>
            <w:vAlign w:val="center"/>
          </w:tcPr>
          <w:p/>
        </w:tc>
        <w:tc>
          <w:tcPr>
            <w:tcW w:w="741" w:type="dxa"/>
            <w:vMerge w:val="continue"/>
            <w:noWrap w:val="0"/>
            <w:vAlign w:val="center"/>
          </w:tcPr>
          <w:p/>
        </w:tc>
        <w:tc>
          <w:tcPr>
            <w:tcW w:w="624" w:type="dxa"/>
            <w:vMerge w:val="continue"/>
            <w:noWrap w:val="0"/>
            <w:vAlign w:val="center"/>
          </w:tcPr>
          <w:p/>
        </w:tc>
        <w:tc>
          <w:tcPr>
            <w:tcW w:w="1134" w:type="dxa"/>
            <w:vMerge w:val="continue"/>
            <w:noWrap w:val="0"/>
            <w:vAlign w:val="center"/>
          </w:tcPr>
          <w:p/>
        </w:tc>
        <w:tc>
          <w:tcPr>
            <w:tcW w:w="567" w:type="dxa"/>
            <w:vMerge w:val="continue"/>
            <w:noWrap w:val="0"/>
            <w:vAlign w:val="center"/>
          </w:tcPr>
          <w:p/>
        </w:tc>
        <w:tc>
          <w:tcPr>
            <w:tcW w:w="5845" w:type="dxa"/>
            <w:tcBorders>
              <w:top w:val="single" w:color="auto" w:sz="4" w:space="0"/>
            </w:tcBorders>
            <w:noWrap w:val="0"/>
            <w:vAlign w:val="center"/>
          </w:tcPr>
          <w:p>
            <w:pPr>
              <w:rPr>
                <w:rFonts w:hint="eastAsia" w:ascii="宋体" w:hAnsi="宋体" w:eastAsia="宋体" w:cs="宋体"/>
                <w:sz w:val="21"/>
                <w:szCs w:val="21"/>
                <w:highlight w:val="none"/>
              </w:rPr>
            </w:pPr>
            <w:r>
              <w:rPr>
                <w:rFonts w:hint="eastAsia" w:ascii="宋体" w:hAnsi="宋体" w:eastAsia="宋体" w:cs="宋体"/>
                <w:sz w:val="21"/>
                <w:szCs w:val="21"/>
                <w:highlight w:val="none"/>
              </w:rPr>
              <w:t>每增加1项满足“资格审查条件（业绩最低要求）”的业绩加</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分，最多加</w:t>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分。</w:t>
            </w:r>
          </w:p>
        </w:tc>
      </w:tr>
    </w:tbl>
    <w:p>
      <w:pPr>
        <w:spacing w:line="240" w:lineRule="auto"/>
        <w:jc w:val="left"/>
        <w:rPr>
          <w:rFonts w:hint="eastAsia" w:ascii="宋体" w:hAnsi="宋体" w:eastAsia="宋体" w:cs="宋体"/>
          <w:kern w:val="0"/>
          <w:sz w:val="21"/>
          <w:szCs w:val="21"/>
          <w:highlight w:val="none"/>
          <w:lang w:val="zh-CN"/>
        </w:rPr>
      </w:pPr>
      <w:r>
        <w:rPr>
          <w:rFonts w:hint="eastAsia" w:ascii="宋体" w:hAnsi="宋体" w:eastAsia="宋体" w:cs="宋体"/>
          <w:kern w:val="0"/>
          <w:sz w:val="21"/>
          <w:szCs w:val="21"/>
          <w:highlight w:val="none"/>
          <w:lang w:val="zh-CN"/>
        </w:rPr>
        <w:t>注：1、第2.2.4（1）项各评委打分保留1位小数，投标人该项得分以各评委打分平均值计算所得，保留两位小数，第三位小数四舍五入。</w:t>
      </w:r>
    </w:p>
    <w:p>
      <w:pPr>
        <w:pStyle w:val="10"/>
        <w:spacing w:line="240" w:lineRule="auto"/>
        <w:ind w:left="0" w:leftChars="0"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lang w:val="zh-CN"/>
        </w:rPr>
        <w:t>第2.2.4（1）项评审因素缺项则该项得0分。</w:t>
      </w:r>
    </w:p>
    <w:p>
      <w:bookmarkStart w:id="8" w:name="_GoBack"/>
      <w:bookmarkEnd w:id="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52B11AA"/>
    <w:rsid w:val="053765B9"/>
    <w:rsid w:val="05482EA2"/>
    <w:rsid w:val="064102F9"/>
    <w:rsid w:val="067A164E"/>
    <w:rsid w:val="07FC4D37"/>
    <w:rsid w:val="0AB54A42"/>
    <w:rsid w:val="0CA8704E"/>
    <w:rsid w:val="0E81287E"/>
    <w:rsid w:val="12476BEA"/>
    <w:rsid w:val="15252667"/>
    <w:rsid w:val="153B67D4"/>
    <w:rsid w:val="16415095"/>
    <w:rsid w:val="17C044C3"/>
    <w:rsid w:val="18670549"/>
    <w:rsid w:val="1B676774"/>
    <w:rsid w:val="1C063B10"/>
    <w:rsid w:val="1D7B470C"/>
    <w:rsid w:val="1D951969"/>
    <w:rsid w:val="1F071645"/>
    <w:rsid w:val="1F58329B"/>
    <w:rsid w:val="214C45F4"/>
    <w:rsid w:val="23585E1D"/>
    <w:rsid w:val="237B6F63"/>
    <w:rsid w:val="24FF423B"/>
    <w:rsid w:val="262B258E"/>
    <w:rsid w:val="267C5F31"/>
    <w:rsid w:val="27065532"/>
    <w:rsid w:val="27C849A7"/>
    <w:rsid w:val="29FD3CFB"/>
    <w:rsid w:val="2A14027C"/>
    <w:rsid w:val="2A7201E4"/>
    <w:rsid w:val="2C053E53"/>
    <w:rsid w:val="2C461E1C"/>
    <w:rsid w:val="2E355690"/>
    <w:rsid w:val="2EED0ED3"/>
    <w:rsid w:val="2F12606C"/>
    <w:rsid w:val="2FE07023"/>
    <w:rsid w:val="30646183"/>
    <w:rsid w:val="31EE7681"/>
    <w:rsid w:val="34715C57"/>
    <w:rsid w:val="35F04520"/>
    <w:rsid w:val="36AE5B31"/>
    <w:rsid w:val="37DE6BB9"/>
    <w:rsid w:val="38F0586E"/>
    <w:rsid w:val="39BF72B4"/>
    <w:rsid w:val="3AFE0D2F"/>
    <w:rsid w:val="3B4A3961"/>
    <w:rsid w:val="3BED56CD"/>
    <w:rsid w:val="3D784A90"/>
    <w:rsid w:val="3E864610"/>
    <w:rsid w:val="3F405866"/>
    <w:rsid w:val="4327445A"/>
    <w:rsid w:val="438E434B"/>
    <w:rsid w:val="439515D5"/>
    <w:rsid w:val="43A66C1F"/>
    <w:rsid w:val="48A43D49"/>
    <w:rsid w:val="4B4311A8"/>
    <w:rsid w:val="4B720118"/>
    <w:rsid w:val="4BEE2E5D"/>
    <w:rsid w:val="4E1C46B2"/>
    <w:rsid w:val="51ED2A7B"/>
    <w:rsid w:val="54697928"/>
    <w:rsid w:val="56FC3747"/>
    <w:rsid w:val="5787161D"/>
    <w:rsid w:val="5C09106B"/>
    <w:rsid w:val="5C761162"/>
    <w:rsid w:val="5C926C63"/>
    <w:rsid w:val="5E554B9A"/>
    <w:rsid w:val="61CF197C"/>
    <w:rsid w:val="63737747"/>
    <w:rsid w:val="654419FA"/>
    <w:rsid w:val="65E20F44"/>
    <w:rsid w:val="6683726D"/>
    <w:rsid w:val="669B5E8E"/>
    <w:rsid w:val="67367C78"/>
    <w:rsid w:val="678A4CB4"/>
    <w:rsid w:val="67FA6F08"/>
    <w:rsid w:val="6EA91E8E"/>
    <w:rsid w:val="708243D3"/>
    <w:rsid w:val="71AA3117"/>
    <w:rsid w:val="735C2CFF"/>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4"/>
    </w:rPr>
  </w:style>
  <w:style w:type="paragraph" w:styleId="4">
    <w:name w:val="Plain Text"/>
    <w:basedOn w:val="1"/>
    <w:qFormat/>
    <w:uiPriority w:val="0"/>
    <w:rPr>
      <w:rFonts w:ascii="宋体" w:hAnsi="Courier New"/>
      <w:kern w:val="0"/>
      <w:sz w:val="20"/>
      <w:szCs w:val="20"/>
    </w:rPr>
  </w:style>
  <w:style w:type="paragraph" w:styleId="5">
    <w:name w:val="Normal (Web)"/>
    <w:basedOn w:val="1"/>
    <w:qFormat/>
    <w:uiPriority w:val="0"/>
    <w:pPr>
      <w:widowControl/>
      <w:spacing w:before="100" w:beforeAutospacing="1" w:after="100" w:afterAutospacing="1" w:line="432" w:lineRule="auto"/>
      <w:ind w:firstLine="480"/>
      <w:jc w:val="left"/>
    </w:pPr>
    <w:rPr>
      <w:rFonts w:ascii="宋体" w:hAnsi="宋体"/>
      <w:kern w:val="0"/>
      <w:sz w:val="24"/>
      <w:szCs w:val="24"/>
    </w:rPr>
  </w:style>
  <w:style w:type="paragraph" w:customStyle="1" w:styleId="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
    <w:name w:val="正文文本 (2) + 10.5 pt"/>
    <w:autoRedefine/>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 w:type="paragraph" w:customStyle="1" w:styleId="10">
    <w:name w:val="正文首行缩进 21"/>
    <w:basedOn w:val="11"/>
    <w:autoRedefine/>
    <w:qFormat/>
    <w:uiPriority w:val="0"/>
    <w:pPr>
      <w:ind w:firstLine="420"/>
    </w:pPr>
  </w:style>
  <w:style w:type="paragraph" w:customStyle="1" w:styleId="11">
    <w:name w:val="正文文本缩进1"/>
    <w:basedOn w:val="1"/>
    <w:autoRedefine/>
    <w:qFormat/>
    <w:uiPriority w:val="0"/>
    <w:pPr>
      <w:spacing w:line="500" w:lineRule="exact"/>
      <w:ind w:firstLine="88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2025-01-25T08:30:56Z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78724F35F4C14ABF86A21046069351B7</vt:lpwstr>
  </property>
</Properties>
</file>