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before="156" w:beforeLines="50" w:after="156" w:afterLines="50"/>
        <w:outlineLvl w:val="2"/>
        <w:rPr>
          <w:rFonts w:ascii="Calibri" w:hAnsi="Calibri" w:eastAsia="宋体" w:cs="Times New Roman"/>
          <w:b/>
          <w:bCs/>
          <w:sz w:val="32"/>
          <w:szCs w:val="32"/>
          <w14:ligatures w14:val="none"/>
        </w:rPr>
      </w:pPr>
      <w:r>
        <w:rPr>
          <w:rFonts w:hint="eastAsia" w:ascii="宋体" w:hAnsi="宋体" w:eastAsia="宋体" w:cs="Times New Roman"/>
          <w:b/>
          <w:bCs/>
          <w:sz w:val="24"/>
          <w:szCs w:val="24"/>
          <w14:ligatures w14:val="none"/>
        </w:rPr>
        <w:t>附件</w:t>
      </w:r>
      <w:r>
        <w:rPr>
          <w:rFonts w:ascii="宋体" w:hAnsi="宋体" w:eastAsia="宋体" w:cs="Times New Roman"/>
          <w:b/>
          <w:bCs/>
          <w:sz w:val="24"/>
          <w:szCs w:val="24"/>
          <w14:ligatures w14:val="none"/>
        </w:rPr>
        <w:t>1</w:t>
      </w:r>
      <w:r>
        <w:rPr>
          <w:rFonts w:hint="eastAsia" w:ascii="宋体" w:hAnsi="宋体" w:eastAsia="宋体" w:cs="Times New Roman"/>
          <w:b/>
          <w:bCs/>
          <w:sz w:val="24"/>
          <w:szCs w:val="24"/>
          <w14:ligatures w14:val="none"/>
        </w:rPr>
        <w:t>：资格审查条件</w:t>
      </w:r>
    </w:p>
    <w:p>
      <w:pPr>
        <w:ind w:firstLine="420"/>
        <w:jc w:val="center"/>
        <w:rPr>
          <w:rFonts w:ascii="Calibri" w:hAnsi="Calibri" w:eastAsia="宋体" w:cs="Times New Roman"/>
          <w14:ligatures w14:val="none"/>
        </w:rPr>
      </w:pPr>
      <w:bookmarkStart w:id="0" w:name="_Hlk174347707"/>
    </w:p>
    <w:p>
      <w:pPr>
        <w:ind w:firstLine="482"/>
        <w:jc w:val="center"/>
        <w:rPr>
          <w:rFonts w:hint="eastAsia" w:ascii="宋体" w:hAnsi="宋体" w:eastAsia="宋体" w:cs="Times New Roman"/>
          <w:b/>
          <w:sz w:val="24"/>
          <w:szCs w:val="24"/>
          <w14:ligatures w14:val="none"/>
        </w:rPr>
      </w:pPr>
      <w:r>
        <w:rPr>
          <w:rFonts w:hint="eastAsia" w:ascii="宋体" w:hAnsi="宋体" w:eastAsia="宋体" w:cs="Times New Roman"/>
          <w:b/>
          <w:sz w:val="24"/>
          <w:szCs w:val="24"/>
          <w14:ligatures w14:val="none"/>
        </w:rPr>
        <w:t>附录1  资格审查条件（资质最低要求）</w:t>
      </w:r>
    </w:p>
    <w:p>
      <w:pPr>
        <w:ind w:firstLine="482"/>
        <w:jc w:val="center"/>
        <w:rPr>
          <w:rFonts w:hint="eastAsia" w:ascii="宋体" w:hAnsi="宋体" w:eastAsia="宋体" w:cs="Times New Roman"/>
          <w:b/>
          <w:sz w:val="24"/>
          <w:szCs w:val="24"/>
          <w14:ligatures w14:val="none"/>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ind w:firstLine="42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8642" w:type="dxa"/>
            <w:vAlign w:val="center"/>
          </w:tcPr>
          <w:p>
            <w:pPr>
              <w:spacing w:line="360" w:lineRule="exact"/>
              <w:ind w:firstLine="420" w:firstLineChars="200"/>
              <w:rPr>
                <w:rFonts w:hint="eastAsia" w:ascii="宋体" w:hAnsi="宋体" w:eastAsia="宋体" w:cs="宋体"/>
                <w:szCs w:val="21"/>
                <w14:ligatures w14:val="none"/>
              </w:rPr>
            </w:pPr>
            <w:r>
              <w:rPr>
                <w:rFonts w:hint="eastAsia" w:ascii="宋体" w:hAnsi="宋体" w:eastAsia="宋体" w:cs="宋体"/>
                <w:szCs w:val="21"/>
                <w14:ligatures w14:val="none"/>
              </w:rPr>
              <w:t>1.投标人为中华人民共和国境内注册的独立法人或合伙制企业，持有有效的企业营业执照。</w:t>
            </w:r>
          </w:p>
          <w:p>
            <w:pPr>
              <w:spacing w:line="360" w:lineRule="exact"/>
              <w:ind w:firstLine="420" w:firstLineChars="200"/>
              <w:rPr>
                <w:rFonts w:hint="eastAsia" w:ascii="宋体" w:hAnsi="宋体" w:eastAsia="宋体" w:cs="宋体"/>
                <w:szCs w:val="21"/>
                <w14:ligatures w14:val="none"/>
              </w:rPr>
            </w:pPr>
            <w:r>
              <w:rPr>
                <w:rFonts w:hint="eastAsia" w:ascii="宋体" w:hAnsi="宋体" w:eastAsia="宋体" w:cs="宋体"/>
                <w:szCs w:val="21"/>
                <w14:ligatures w14:val="none"/>
              </w:rPr>
              <w:t>2.投标人具备会计师事务所执业证书。</w:t>
            </w:r>
          </w:p>
          <w:p>
            <w:pPr>
              <w:snapToGrid w:val="0"/>
              <w:spacing w:line="440" w:lineRule="exact"/>
              <w:ind w:firstLine="420" w:firstLineChars="200"/>
              <w:rPr>
                <w:rFonts w:hint="eastAsia" w:ascii="宋体" w:hAnsi="宋体" w:eastAsia="宋体" w:cs="Times New Roman"/>
                <w:kern w:val="0"/>
                <w:szCs w:val="21"/>
                <w14:ligatures w14:val="none"/>
              </w:rPr>
            </w:pPr>
            <w:r>
              <w:rPr>
                <w:rFonts w:hint="eastAsia" w:ascii="宋体" w:hAnsi="宋体" w:eastAsia="宋体" w:cs="宋体"/>
                <w:szCs w:val="21"/>
                <w14:ligatures w14:val="none"/>
              </w:rPr>
              <w:t>注：以联合体形式投标的，联合体所有成员均需满足第1项要求。联合体牵头人应具有会计师事务所执业证书。</w:t>
            </w:r>
          </w:p>
        </w:tc>
      </w:tr>
    </w:tbl>
    <w:p>
      <w:pPr>
        <w:ind w:firstLine="480"/>
        <w:rPr>
          <w:rFonts w:hint="eastAsia" w:ascii="宋体" w:hAnsi="宋体" w:eastAsia="宋体" w:cs="Times New Roman"/>
          <w:sz w:val="24"/>
          <w:szCs w:val="24"/>
          <w14:ligatures w14:val="none"/>
        </w:rPr>
      </w:pPr>
    </w:p>
    <w:p>
      <w:pPr>
        <w:ind w:firstLine="480"/>
        <w:rPr>
          <w:rFonts w:hint="eastAsia" w:ascii="宋体" w:hAnsi="宋体" w:eastAsia="宋体" w:cs="Times New Roman"/>
          <w:sz w:val="24"/>
          <w:szCs w:val="24"/>
          <w14:ligatures w14:val="none"/>
        </w:rPr>
      </w:pPr>
    </w:p>
    <w:p>
      <w:pPr>
        <w:ind w:firstLine="482"/>
        <w:jc w:val="center"/>
        <w:rPr>
          <w:rFonts w:hint="eastAsia" w:ascii="宋体" w:hAnsi="宋体" w:eastAsia="宋体" w:cs="Times New Roman"/>
          <w:b/>
          <w:sz w:val="24"/>
          <w:szCs w:val="24"/>
          <w14:ligatures w14:val="none"/>
        </w:rPr>
      </w:pPr>
      <w:r>
        <w:rPr>
          <w:rFonts w:hint="eastAsia" w:ascii="宋体" w:hAnsi="宋体" w:eastAsia="宋体" w:cs="Times New Roman"/>
          <w:b/>
          <w:sz w:val="24"/>
          <w:szCs w:val="24"/>
          <w14:ligatures w14:val="none"/>
        </w:rPr>
        <w:t>附录2  资格审查条件（业绩最低要求）</w:t>
      </w:r>
    </w:p>
    <w:p>
      <w:pPr>
        <w:ind w:firstLine="482"/>
        <w:jc w:val="center"/>
        <w:rPr>
          <w:rFonts w:hint="eastAsia" w:ascii="宋体" w:hAnsi="宋体" w:eastAsia="宋体" w:cs="Times New Roman"/>
          <w:b/>
          <w:sz w:val="24"/>
          <w:szCs w:val="24"/>
          <w14:ligatures w14:val="none"/>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ind w:firstLine="42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pPr>
              <w:autoSpaceDE w:val="0"/>
              <w:autoSpaceDN w:val="0"/>
              <w:adjustRightInd w:val="0"/>
              <w:spacing w:line="440" w:lineRule="exact"/>
              <w:ind w:firstLine="420" w:firstLineChars="200"/>
              <w:rPr>
                <w:rFonts w:hint="eastAsia" w:ascii="宋体" w:hAnsi="宋体" w:eastAsia="宋体" w:cs="宋体"/>
                <w14:ligatures w14:val="none"/>
              </w:rPr>
            </w:pPr>
            <w:r>
              <w:rPr>
                <w:rFonts w:hint="eastAsia" w:ascii="宋体" w:hAnsi="宋体" w:eastAsia="宋体" w:cs="宋体"/>
                <w14:ligatures w14:val="none"/>
              </w:rPr>
              <w:t>1. 投标人近五年（2019年8月1日至今，以合同签订时间为准）至少具有一项投资额在8000万元以上的高速公路（新建或改扩建或养护）工程建设项目竣工财务决算审计业绩；</w:t>
            </w:r>
          </w:p>
          <w:p>
            <w:pPr>
              <w:autoSpaceDE w:val="0"/>
              <w:autoSpaceDN w:val="0"/>
              <w:adjustRightInd w:val="0"/>
              <w:spacing w:line="440" w:lineRule="exact"/>
              <w:ind w:firstLine="420" w:firstLineChars="200"/>
              <w:rPr>
                <w:rFonts w:hint="eastAsia" w:ascii="宋体" w:hAnsi="宋体" w:eastAsia="宋体" w:cs="宋体"/>
                <w14:ligatures w14:val="none"/>
              </w:rPr>
            </w:pPr>
            <w:r>
              <w:rPr>
                <w:rFonts w:hint="eastAsia" w:ascii="宋体" w:hAnsi="宋体" w:eastAsia="宋体" w:cs="宋体"/>
                <w14:ligatures w14:val="none"/>
              </w:rPr>
              <w:t>2. 投标人近五年（2019年8月1日至今，以合同签订时间为准）至少具有一项投资额在8000万元以上的高速公路（新建或改扩建或养护）工程建设项目工程结算审计业绩；</w:t>
            </w:r>
          </w:p>
          <w:p>
            <w:pPr>
              <w:autoSpaceDE w:val="0"/>
              <w:autoSpaceDN w:val="0"/>
              <w:adjustRightInd w:val="0"/>
              <w:spacing w:line="440" w:lineRule="exact"/>
              <w:ind w:firstLine="420" w:firstLineChars="200"/>
              <w:rPr>
                <w:rFonts w:hint="eastAsia" w:ascii="宋体" w:hAnsi="宋体" w:eastAsia="宋体" w:cs="Times New Roman"/>
                <w:szCs w:val="21"/>
                <w14:ligatures w14:val="none"/>
              </w:rPr>
            </w:pPr>
            <w:r>
              <w:rPr>
                <w:rFonts w:hint="eastAsia" w:ascii="宋体" w:hAnsi="宋体" w:eastAsia="宋体" w:cs="宋体"/>
                <w14:ligatures w14:val="none"/>
              </w:rPr>
              <w:t>如为联合体投标，联合体牵头人出具竣工财务决算审计业绩，联合体成员出具工程结算审计业绩。</w:t>
            </w:r>
          </w:p>
        </w:tc>
      </w:tr>
    </w:tbl>
    <w:p>
      <w:pPr>
        <w:ind w:firstLine="480"/>
        <w:rPr>
          <w:rFonts w:hint="eastAsia" w:ascii="宋体" w:hAnsi="宋体" w:eastAsia="宋体" w:cs="Times New Roman"/>
          <w:sz w:val="24"/>
          <w:szCs w:val="24"/>
          <w14:ligatures w14:val="none"/>
        </w:rPr>
      </w:pPr>
    </w:p>
    <w:p>
      <w:pPr>
        <w:ind w:firstLine="480"/>
        <w:rPr>
          <w:rFonts w:hint="eastAsia" w:ascii="宋体" w:hAnsi="宋体" w:eastAsia="宋体" w:cs="Times New Roman"/>
          <w:sz w:val="24"/>
          <w:szCs w:val="24"/>
          <w14:ligatures w14:val="none"/>
        </w:rPr>
      </w:pPr>
    </w:p>
    <w:p>
      <w:pPr>
        <w:ind w:firstLine="482"/>
        <w:jc w:val="center"/>
        <w:rPr>
          <w:rFonts w:hint="eastAsia" w:ascii="宋体" w:hAnsi="宋体" w:eastAsia="宋体" w:cs="Times New Roman"/>
          <w:b/>
          <w:sz w:val="24"/>
          <w:szCs w:val="24"/>
          <w14:ligatures w14:val="none"/>
        </w:rPr>
      </w:pPr>
      <w:r>
        <w:rPr>
          <w:rFonts w:hint="eastAsia" w:ascii="宋体" w:hAnsi="宋体" w:eastAsia="宋体" w:cs="Times New Roman"/>
          <w:b/>
          <w:sz w:val="24"/>
          <w:szCs w:val="24"/>
          <w14:ligatures w14:val="none"/>
        </w:rPr>
        <w:t>附录3  资格审查条件（信誉最低要求）</w:t>
      </w:r>
    </w:p>
    <w:p>
      <w:pPr>
        <w:ind w:firstLine="482"/>
        <w:jc w:val="center"/>
        <w:rPr>
          <w:rFonts w:hint="eastAsia" w:ascii="宋体" w:hAnsi="宋体" w:eastAsia="宋体" w:cs="Times New Roman"/>
          <w:b/>
          <w:sz w:val="24"/>
          <w:szCs w:val="24"/>
          <w14:ligatures w14:val="none"/>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ind w:firstLine="42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440" w:lineRule="exact"/>
              <w:ind w:firstLine="420" w:firstLineChars="200"/>
              <w:rPr>
                <w:rFonts w:hint="eastAsia" w:ascii="宋体" w:hAnsi="宋体" w:eastAsia="宋体" w:cs="宋体"/>
                <w:szCs w:val="21"/>
                <w14:ligatures w14:val="none"/>
              </w:rPr>
            </w:pPr>
            <w:r>
              <w:rPr>
                <w:rFonts w:hint="eastAsia" w:ascii="宋体" w:hAnsi="宋体" w:eastAsia="宋体" w:cs="宋体"/>
                <w:szCs w:val="21"/>
                <w14:ligatures w14:val="none"/>
              </w:rPr>
              <w:t>投标人在近1年内（2023年8月1日至今）不曾在高速公路审计服务项目中违约而被驱逐或因投标人自身的原因而使高速公路审计服务项目合同被解除。</w:t>
            </w:r>
          </w:p>
          <w:p>
            <w:pPr>
              <w:snapToGrid w:val="0"/>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宋体"/>
                <w:szCs w:val="21"/>
                <w14:ligatures w14:val="none"/>
              </w:rPr>
              <w:t>注：以联合体形式投标的，联合体各成员均应满足上述要求。</w:t>
            </w:r>
          </w:p>
        </w:tc>
      </w:tr>
    </w:tbl>
    <w:p>
      <w:pPr>
        <w:ind w:firstLine="480"/>
        <w:rPr>
          <w:rFonts w:hint="eastAsia" w:ascii="宋体" w:hAnsi="宋体" w:eastAsia="宋体" w:cs="Times New Roman"/>
          <w:sz w:val="24"/>
          <w:szCs w:val="24"/>
          <w14:ligatures w14:val="none"/>
        </w:rPr>
      </w:pPr>
    </w:p>
    <w:p>
      <w:pPr>
        <w:ind w:firstLine="482"/>
        <w:jc w:val="center"/>
        <w:rPr>
          <w:rFonts w:hint="eastAsia" w:ascii="宋体" w:hAnsi="宋体" w:eastAsia="宋体" w:cs="Times New Roman"/>
          <w:b/>
          <w:sz w:val="24"/>
          <w:szCs w:val="24"/>
          <w14:ligatures w14:val="none"/>
        </w:rPr>
      </w:pPr>
    </w:p>
    <w:p>
      <w:pPr>
        <w:widowControl/>
        <w:jc w:val="left"/>
        <w:rPr>
          <w:rFonts w:hint="eastAsia" w:ascii="宋体" w:hAnsi="宋体" w:eastAsia="宋体" w:cs="Times New Roman"/>
          <w:b/>
          <w:sz w:val="24"/>
          <w:szCs w:val="24"/>
          <w14:ligatures w14:val="none"/>
        </w:rPr>
      </w:pPr>
      <w:r>
        <w:rPr>
          <w:rFonts w:hint="eastAsia" w:ascii="宋体" w:hAnsi="宋体" w:eastAsia="宋体" w:cs="Times New Roman"/>
          <w:b/>
          <w:sz w:val="24"/>
          <w:szCs w:val="24"/>
          <w14:ligatures w14:val="none"/>
        </w:rPr>
        <w:br w:type="page"/>
      </w:r>
    </w:p>
    <w:p>
      <w:pPr>
        <w:ind w:firstLine="482"/>
        <w:jc w:val="center"/>
        <w:rPr>
          <w:rFonts w:hint="eastAsia" w:ascii="宋体" w:hAnsi="宋体" w:eastAsia="宋体" w:cs="Times New Roman"/>
          <w:b/>
          <w:sz w:val="24"/>
          <w:szCs w:val="24"/>
          <w14:ligatures w14:val="none"/>
        </w:rPr>
      </w:pPr>
      <w:r>
        <w:rPr>
          <w:rFonts w:hint="eastAsia" w:ascii="宋体" w:hAnsi="宋体" w:eastAsia="宋体" w:cs="Times New Roman"/>
          <w:b/>
          <w:sz w:val="24"/>
          <w:szCs w:val="24"/>
          <w14:ligatures w14:val="none"/>
        </w:rPr>
        <w:t>附录4  资格审查条件（项目负责人最低要求）</w:t>
      </w:r>
    </w:p>
    <w:p>
      <w:pPr>
        <w:ind w:firstLine="482"/>
        <w:jc w:val="center"/>
        <w:rPr>
          <w:rFonts w:hint="eastAsia" w:ascii="宋体" w:hAnsi="宋体" w:eastAsia="宋体" w:cs="Times New Roman"/>
          <w:b/>
          <w:sz w:val="24"/>
          <w:szCs w:val="24"/>
          <w14:ligatures w14:val="none"/>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ind w:firstLine="420"/>
              <w:jc w:val="center"/>
              <w:rPr>
                <w:rFonts w:hint="eastAsia" w:ascii="宋体" w:hAnsi="宋体" w:eastAsia="宋体" w:cs="Times New Roman"/>
                <w:szCs w:val="21"/>
                <w14:ligatures w14:val="none"/>
              </w:rPr>
            </w:pPr>
            <w:bookmarkStart w:id="1" w:name="_Hlk174351771"/>
            <w:r>
              <w:rPr>
                <w:rFonts w:hint="eastAsia" w:ascii="宋体" w:hAnsi="宋体" w:eastAsia="宋体" w:cs="Times New Roman"/>
                <w:szCs w:val="21"/>
                <w14:ligatures w14:val="none"/>
              </w:rPr>
              <w:t>人员</w:t>
            </w:r>
          </w:p>
        </w:tc>
        <w:tc>
          <w:tcPr>
            <w:tcW w:w="992" w:type="dxa"/>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数量</w:t>
            </w:r>
          </w:p>
        </w:tc>
        <w:tc>
          <w:tcPr>
            <w:tcW w:w="6379" w:type="dxa"/>
            <w:vAlign w:val="center"/>
          </w:tcPr>
          <w:p>
            <w:pPr>
              <w:ind w:firstLine="420"/>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300" w:type="dxa"/>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项目负责人</w:t>
            </w:r>
          </w:p>
        </w:tc>
        <w:tc>
          <w:tcPr>
            <w:tcW w:w="992" w:type="dxa"/>
            <w:vAlign w:val="center"/>
          </w:tcPr>
          <w:p>
            <w:pPr>
              <w:ind w:firstLine="420"/>
              <w:rPr>
                <w:rFonts w:hint="eastAsia" w:ascii="宋体" w:hAnsi="宋体" w:eastAsia="宋体" w:cs="Times New Roman"/>
                <w:szCs w:val="21"/>
                <w14:ligatures w14:val="none"/>
              </w:rPr>
            </w:pPr>
            <w:r>
              <w:rPr>
                <w:rFonts w:hint="eastAsia" w:ascii="宋体" w:hAnsi="宋体" w:eastAsia="宋体" w:cs="Times New Roman"/>
                <w:szCs w:val="21"/>
                <w14:ligatures w14:val="none"/>
              </w:rPr>
              <w:t>1</w:t>
            </w:r>
          </w:p>
        </w:tc>
        <w:tc>
          <w:tcPr>
            <w:tcW w:w="6379" w:type="dxa"/>
            <w:vAlign w:val="center"/>
          </w:tcPr>
          <w:p>
            <w:pP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注册会计师。</w:t>
            </w:r>
          </w:p>
          <w:p>
            <w:pP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近五年（2019年8月1日至今，以合同签订时间为准）至少担任过一项投资额在8000万元以上的</w:t>
            </w:r>
            <w:r>
              <w:rPr>
                <w:rFonts w:hint="eastAsia" w:ascii="宋体" w:hAnsi="宋体" w:eastAsia="宋体" w:cs="宋体"/>
                <w14:ligatures w14:val="none"/>
              </w:rPr>
              <w:t>高速公路（新建或改扩建或养护）工程建设项目竣工财务决算审计业绩</w:t>
            </w:r>
            <w:r>
              <w:rPr>
                <w:rFonts w:hint="eastAsia" w:ascii="宋体" w:hAnsi="宋体" w:eastAsia="宋体" w:cs="Times New Roman"/>
                <w:kern w:val="0"/>
                <w:szCs w:val="21"/>
                <w14:ligatures w14:val="none"/>
              </w:rPr>
              <w:t>的项目负责人。</w:t>
            </w:r>
          </w:p>
        </w:tc>
      </w:tr>
    </w:tbl>
    <w:p>
      <w:pPr>
        <w:jc w:val="center"/>
        <w:rPr>
          <w:rFonts w:hint="eastAsia" w:ascii="宋体" w:hAnsi="宋体" w:eastAsia="宋体" w:cs="Times New Roman"/>
          <w:b/>
          <w:sz w:val="24"/>
          <w:szCs w:val="24"/>
          <w14:ligatures w14:val="none"/>
        </w:rPr>
      </w:pPr>
      <w:bookmarkStart w:id="2" w:name="_Toc146320978"/>
      <w:bookmarkStart w:id="3" w:name="_Toc146029311"/>
      <w:bookmarkStart w:id="4" w:name="_Toc141783237"/>
    </w:p>
    <w:p>
      <w:pPr>
        <w:jc w:val="center"/>
        <w:rPr>
          <w:rFonts w:hint="eastAsia" w:ascii="宋体" w:hAnsi="宋体" w:eastAsia="宋体" w:cs="Times New Roman"/>
          <w:b/>
          <w:sz w:val="24"/>
          <w:szCs w:val="24"/>
          <w14:ligatures w14:val="none"/>
        </w:rPr>
      </w:pPr>
      <w:r>
        <w:rPr>
          <w:rFonts w:hint="eastAsia" w:ascii="宋体" w:hAnsi="宋体" w:eastAsia="宋体" w:cs="Times New Roman"/>
          <w:b/>
          <w:sz w:val="24"/>
          <w:szCs w:val="24"/>
          <w14:ligatures w14:val="none"/>
        </w:rPr>
        <w:t>附录5  资格审查条件（主要人员最低要求）</w:t>
      </w:r>
    </w:p>
    <w:p>
      <w:pPr>
        <w:jc w:val="center"/>
        <w:rPr>
          <w:rFonts w:hint="eastAsia" w:ascii="宋体" w:hAnsi="宋体" w:eastAsia="宋体" w:cs="Times New Roman"/>
          <w:b/>
          <w:sz w:val="24"/>
          <w:szCs w:val="24"/>
          <w14:ligatures w14:val="none"/>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人员</w:t>
            </w:r>
          </w:p>
        </w:tc>
        <w:tc>
          <w:tcPr>
            <w:tcW w:w="992" w:type="dxa"/>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数量</w:t>
            </w:r>
          </w:p>
        </w:tc>
        <w:tc>
          <w:tcPr>
            <w:tcW w:w="6379" w:type="dxa"/>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300" w:type="dxa"/>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财务审计人员</w:t>
            </w:r>
          </w:p>
        </w:tc>
        <w:tc>
          <w:tcPr>
            <w:tcW w:w="992" w:type="dxa"/>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2</w:t>
            </w:r>
          </w:p>
        </w:tc>
        <w:tc>
          <w:tcPr>
            <w:tcW w:w="6379" w:type="dxa"/>
            <w:vAlign w:val="center"/>
          </w:tcPr>
          <w:p>
            <w:pPr>
              <w:rPr>
                <w:rFonts w:hint="eastAsia" w:ascii="宋体" w:hAnsi="宋体" w:eastAsia="宋体" w:cs="Times New Roman"/>
                <w:szCs w:val="21"/>
                <w14:ligatures w14:val="none"/>
              </w:rPr>
            </w:pPr>
            <w:r>
              <w:rPr>
                <w:rFonts w:hint="eastAsia" w:ascii="宋体" w:hAnsi="宋体" w:eastAsia="宋体" w:cs="Times New Roman"/>
                <w:kern w:val="0"/>
                <w:szCs w:val="21"/>
                <w14:ligatures w14:val="none"/>
              </w:rPr>
              <w:t>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300" w:type="dxa"/>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造价审计人员</w:t>
            </w:r>
          </w:p>
        </w:tc>
        <w:tc>
          <w:tcPr>
            <w:tcW w:w="992" w:type="dxa"/>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3</w:t>
            </w:r>
          </w:p>
        </w:tc>
        <w:tc>
          <w:tcPr>
            <w:tcW w:w="6379" w:type="dxa"/>
            <w:vAlign w:val="center"/>
          </w:tcPr>
          <w:p>
            <w:pP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一级注册造价工程师；</w:t>
            </w:r>
          </w:p>
          <w:p>
            <w:pP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其中1人近五年（2019年8月1日至今，以合同签订时间为准）担任过一项投资额8000万元以上的</w:t>
            </w:r>
            <w:r>
              <w:rPr>
                <w:rFonts w:hint="eastAsia" w:ascii="宋体" w:hAnsi="宋体" w:eastAsia="宋体" w:cs="宋体"/>
                <w14:ligatures w14:val="none"/>
              </w:rPr>
              <w:t>高速公路（新建或改扩建或养护）</w:t>
            </w:r>
            <w:r>
              <w:rPr>
                <w:rFonts w:hint="eastAsia" w:ascii="宋体" w:hAnsi="宋体" w:eastAsia="宋体" w:cs="Times New Roman"/>
                <w:kern w:val="0"/>
                <w:szCs w:val="21"/>
                <w14:ligatures w14:val="none"/>
              </w:rPr>
              <w:t>工程建设项目工程结算审计业绩的负责人。</w:t>
            </w:r>
          </w:p>
        </w:tc>
      </w:tr>
      <w:bookmarkEnd w:id="1"/>
    </w:tbl>
    <w:p>
      <w:pPr>
        <w:snapToGrid w:val="0"/>
        <w:spacing w:line="360" w:lineRule="auto"/>
        <w:rPr>
          <w:rFonts w:ascii="黑体" w:hAnsi="Calibri" w:eastAsia="黑体" w:cs="Times New Roman"/>
          <w:spacing w:val="-8"/>
          <w:sz w:val="24"/>
          <w:szCs w:val="24"/>
          <w14:ligatures w14:val="none"/>
        </w:rPr>
      </w:pPr>
    </w:p>
    <w:p>
      <w:pPr>
        <w:rPr>
          <w:rFonts w:hint="eastAsia"/>
        </w:rPr>
      </w:pPr>
      <w:bookmarkStart w:id="5" w:name="_Toc174353953"/>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left"/>
        <w:rPr>
          <w:rFonts w:ascii="Calibri" w:hAnsi="Calibri" w:eastAsia="宋体" w:cs="Times New Roman"/>
          <w14:ligatures w14:val="none"/>
        </w:rPr>
      </w:pPr>
      <w:bookmarkStart w:id="21" w:name="_GoBack"/>
      <w:bookmarkEnd w:id="21"/>
      <w:r>
        <w:rPr>
          <w:rFonts w:ascii="Calibri" w:hAnsi="Calibri" w:eastAsia="宋体" w:cs="Times New Roman"/>
          <w14:ligatures w14:val="none"/>
        </w:rPr>
        <w:br w:type="page"/>
      </w:r>
    </w:p>
    <w:p>
      <w:pPr>
        <w:keepNext/>
        <w:keepLines/>
        <w:snapToGrid w:val="0"/>
        <w:spacing w:before="156" w:beforeLines="50" w:after="156" w:afterLines="50"/>
        <w:outlineLvl w:val="2"/>
        <w:rPr>
          <w:rFonts w:hint="eastAsia" w:ascii="宋体" w:hAnsi="宋体" w:eastAsia="宋体" w:cs="Times New Roman"/>
          <w:b/>
          <w:bCs/>
          <w:sz w:val="24"/>
          <w:szCs w:val="24"/>
          <w14:ligatures w14:val="none"/>
        </w:rPr>
      </w:pPr>
      <w:bookmarkStart w:id="6" w:name="_Toc174526687"/>
      <w:r>
        <w:rPr>
          <w:rFonts w:hint="eastAsia" w:ascii="宋体" w:hAnsi="宋体" w:eastAsia="宋体" w:cs="Times New Roman"/>
          <w:b/>
          <w:bCs/>
          <w:sz w:val="24"/>
          <w:szCs w:val="24"/>
          <w14:ligatures w14:val="none"/>
        </w:rPr>
        <w:t>附件2：评标办法</w:t>
      </w:r>
      <w:bookmarkEnd w:id="2"/>
      <w:bookmarkEnd w:id="3"/>
      <w:bookmarkEnd w:id="4"/>
      <w:bookmarkEnd w:id="5"/>
      <w:bookmarkEnd w:id="6"/>
    </w:p>
    <w:p>
      <w:pPr>
        <w:keepNext/>
        <w:keepLines/>
        <w:snapToGrid w:val="0"/>
        <w:spacing w:before="120" w:after="120"/>
        <w:ind w:firstLine="482"/>
        <w:outlineLvl w:val="2"/>
        <w:rPr>
          <w:rFonts w:ascii="Calibri" w:hAnsi="Calibri" w:eastAsia="宋体" w:cs="Times New Roman"/>
          <w:b/>
          <w:bCs/>
          <w:sz w:val="24"/>
          <w:szCs w:val="24"/>
          <w14:ligatures w14:val="none"/>
        </w:rPr>
      </w:pPr>
      <w:bookmarkStart w:id="7" w:name="_Toc146320979"/>
      <w:bookmarkStart w:id="8" w:name="_Toc65820978"/>
      <w:bookmarkStart w:id="9" w:name="_Toc66337244"/>
      <w:bookmarkStart w:id="10" w:name="_Toc169638347"/>
      <w:bookmarkStart w:id="11" w:name="_Toc66984522"/>
      <w:bookmarkStart w:id="12" w:name="_Toc174353954"/>
      <w:bookmarkStart w:id="13" w:name="_Toc65857110"/>
      <w:bookmarkStart w:id="14" w:name="_Toc174526688"/>
      <w:bookmarkStart w:id="15" w:name="_Toc146029312"/>
      <w:bookmarkStart w:id="16" w:name="_Toc141783238"/>
      <w:bookmarkStart w:id="17" w:name="_Toc169457201"/>
      <w:bookmarkStart w:id="18" w:name="_Toc138793770"/>
      <w:r>
        <w:rPr>
          <w:rFonts w:hint="eastAsia" w:ascii="Calibri" w:hAnsi="Calibri" w:eastAsia="宋体" w:cs="Times New Roman"/>
          <w:b/>
          <w:bCs/>
          <w:sz w:val="24"/>
          <w:szCs w:val="24"/>
          <w14:ligatures w14:val="none"/>
        </w:rPr>
        <w:t>评标办法前附表</w:t>
      </w:r>
      <w:bookmarkEnd w:id="7"/>
      <w:bookmarkEnd w:id="8"/>
      <w:bookmarkEnd w:id="9"/>
      <w:bookmarkEnd w:id="10"/>
      <w:bookmarkEnd w:id="11"/>
      <w:bookmarkEnd w:id="12"/>
      <w:bookmarkEnd w:id="13"/>
      <w:bookmarkEnd w:id="14"/>
      <w:bookmarkEnd w:id="15"/>
      <w:bookmarkEnd w:id="16"/>
      <w:bookmarkEnd w:id="17"/>
      <w:bookmarkEnd w:id="18"/>
      <w:bookmarkStart w:id="19" w:name="_Hlk71130285"/>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056"/>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18" w:type="pct"/>
            <w:gridSpan w:val="2"/>
            <w:vAlign w:val="center"/>
          </w:tcPr>
          <w:p>
            <w:pPr>
              <w:jc w:val="center"/>
              <w:rPr>
                <w:rFonts w:hint="eastAsia" w:ascii="宋体" w:hAnsi="宋体" w:eastAsia="宋体" w:cs="Times New Roman"/>
                <w14:ligatures w14:val="none"/>
              </w:rPr>
            </w:pPr>
            <w:r>
              <w:rPr>
                <w:rFonts w:hint="eastAsia" w:ascii="宋体" w:hAnsi="宋体" w:eastAsia="宋体" w:cs="Times New Roman"/>
                <w14:ligatures w14:val="none"/>
              </w:rPr>
              <w:t>条款号</w:t>
            </w:r>
          </w:p>
        </w:tc>
        <w:tc>
          <w:tcPr>
            <w:tcW w:w="3982" w:type="pct"/>
            <w:vAlign w:val="center"/>
          </w:tcPr>
          <w:p>
            <w:pPr>
              <w:ind w:firstLine="420"/>
              <w:jc w:val="center"/>
              <w:rPr>
                <w:rFonts w:hint="eastAsia" w:ascii="宋体" w:hAnsi="宋体" w:eastAsia="宋体" w:cs="Times New Roman"/>
                <w14:ligatures w14:val="none"/>
              </w:rPr>
            </w:pPr>
            <w:r>
              <w:rPr>
                <w:rFonts w:hint="eastAsia" w:ascii="宋体" w:hAnsi="宋体" w:eastAsia="宋体" w:cs="Times New Roman"/>
                <w14:ligatures w14: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hint="eastAsia" w:ascii="宋体" w:hAnsi="宋体" w:eastAsia="宋体" w:cs="Times New Roman"/>
                <w14:ligatures w14:val="none"/>
              </w:rPr>
            </w:pPr>
            <w:r>
              <w:rPr>
                <w:rFonts w:hint="eastAsia" w:ascii="宋体" w:hAnsi="宋体" w:eastAsia="宋体" w:cs="Times New Roman"/>
                <w14:ligatures w14:val="none"/>
              </w:rPr>
              <w:t>1</w:t>
            </w:r>
          </w:p>
        </w:tc>
        <w:tc>
          <w:tcPr>
            <w:tcW w:w="593" w:type="pct"/>
            <w:vAlign w:val="center"/>
          </w:tcPr>
          <w:p>
            <w:pPr>
              <w:jc w:val="center"/>
              <w:rPr>
                <w:rFonts w:hint="eastAsia" w:ascii="宋体" w:hAnsi="宋体" w:eastAsia="宋体" w:cs="Times New Roman"/>
                <w14:ligatures w14:val="none"/>
              </w:rPr>
            </w:pPr>
            <w:r>
              <w:rPr>
                <w:rFonts w:hint="eastAsia" w:ascii="宋体" w:hAnsi="宋体" w:eastAsia="宋体" w:cs="Times New Roman"/>
                <w14:ligatures w14:val="none"/>
              </w:rPr>
              <w:t>评标方法</w:t>
            </w:r>
          </w:p>
        </w:tc>
        <w:tc>
          <w:tcPr>
            <w:tcW w:w="3982" w:type="pct"/>
            <w:vAlign w:val="center"/>
          </w:tcPr>
          <w:p>
            <w:pPr>
              <w:ind w:firstLine="315" w:firstLineChars="150"/>
              <w:jc w:val="left"/>
              <w:rPr>
                <w:rFonts w:hint="eastAsia" w:ascii="宋体" w:hAnsi="宋体" w:eastAsia="宋体" w:cs="Times New Roman"/>
                <w14:ligatures w14:val="none"/>
              </w:rPr>
            </w:pPr>
            <w:r>
              <w:rPr>
                <w:rFonts w:hint="eastAsia" w:ascii="宋体" w:hAnsi="宋体" w:eastAsia="宋体" w:cs="Times New Roman"/>
                <w14:ligatures w14:val="none"/>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hint="eastAsia" w:ascii="宋体" w:hAnsi="宋体" w:eastAsia="宋体" w:cs="Times New Roman"/>
                <w14:ligatures w14:val="none"/>
              </w:rPr>
            </w:pPr>
            <w:r>
              <w:rPr>
                <w:rFonts w:hint="eastAsia" w:ascii="宋体" w:hAnsi="宋体" w:eastAsia="宋体" w:cs="Times New Roman"/>
                <w14:ligatures w14:val="none"/>
              </w:rPr>
              <w:t>（1）评标价低的投标人优先；</w:t>
            </w:r>
          </w:p>
          <w:p>
            <w:pPr>
              <w:ind w:firstLine="315" w:firstLineChars="150"/>
              <w:jc w:val="left"/>
              <w:rPr>
                <w:rFonts w:hint="eastAsia" w:ascii="宋体" w:hAnsi="宋体" w:eastAsia="宋体" w:cs="Times New Roman"/>
                <w14:ligatures w14:val="none"/>
              </w:rPr>
            </w:pPr>
            <w:r>
              <w:rPr>
                <w:rFonts w:hint="eastAsia" w:ascii="宋体" w:hAnsi="宋体" w:eastAsia="宋体" w:cs="Times New Roman"/>
                <w14:ligatures w14:val="none"/>
              </w:rPr>
              <w:t>（2）技术建议书得分较高的投标人优先；</w:t>
            </w:r>
          </w:p>
          <w:p>
            <w:pPr>
              <w:ind w:firstLine="315" w:firstLineChars="150"/>
              <w:jc w:val="left"/>
              <w:rPr>
                <w:rFonts w:hint="eastAsia" w:ascii="宋体" w:hAnsi="宋体" w:eastAsia="宋体" w:cs="Times New Roman"/>
                <w14:ligatures w14:val="none"/>
              </w:rPr>
            </w:pPr>
            <w:r>
              <w:rPr>
                <w:rFonts w:hint="eastAsia" w:ascii="宋体" w:hAnsi="宋体" w:eastAsia="宋体" w:cs="Times New Roman"/>
                <w14:ligatures w14:val="none"/>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hint="eastAsia" w:ascii="宋体" w:hAnsi="宋体" w:eastAsia="宋体" w:cs="Times New Roman"/>
                <w14:ligatures w14:val="none"/>
              </w:rPr>
            </w:pPr>
            <w:r>
              <w:rPr>
                <w:rFonts w:ascii="宋体" w:hAnsi="宋体" w:eastAsia="宋体" w:cs="Times New Roman"/>
                <w14:ligatures w14:val="none"/>
              </w:rPr>
              <w:t>2.1.1</w:t>
            </w:r>
          </w:p>
          <w:p>
            <w:pPr>
              <w:jc w:val="center"/>
              <w:rPr>
                <w:rFonts w:hint="eastAsia" w:ascii="宋体" w:hAnsi="宋体" w:eastAsia="宋体" w:cs="Times New Roman"/>
                <w14:ligatures w14:val="none"/>
              </w:rPr>
            </w:pPr>
            <w:r>
              <w:rPr>
                <w:rFonts w:ascii="宋体" w:hAnsi="宋体" w:eastAsia="宋体" w:cs="Times New Roman"/>
                <w14:ligatures w14:val="none"/>
              </w:rPr>
              <w:t>2.1.3</w:t>
            </w:r>
          </w:p>
        </w:tc>
        <w:tc>
          <w:tcPr>
            <w:tcW w:w="593" w:type="pct"/>
            <w:vAlign w:val="center"/>
          </w:tcPr>
          <w:p>
            <w:pPr>
              <w:jc w:val="center"/>
              <w:rPr>
                <w:rFonts w:hint="eastAsia" w:ascii="宋体" w:hAnsi="宋体" w:eastAsia="宋体" w:cs="Times New Roman"/>
                <w14:ligatures w14:val="none"/>
              </w:rPr>
            </w:pPr>
            <w:r>
              <w:rPr>
                <w:rFonts w:hint="eastAsia" w:ascii="宋体" w:hAnsi="宋体" w:eastAsia="宋体" w:cs="Times New Roman"/>
                <w14:ligatures w14:val="none"/>
              </w:rPr>
              <w:t>形式评审与响应性评审标准</w:t>
            </w:r>
          </w:p>
        </w:tc>
        <w:tc>
          <w:tcPr>
            <w:tcW w:w="3982" w:type="pct"/>
          </w:tcPr>
          <w:p>
            <w:pPr>
              <w:tabs>
                <w:tab w:val="left" w:pos="3060"/>
              </w:tabs>
              <w:spacing w:line="320" w:lineRule="exact"/>
              <w:rPr>
                <w:rFonts w:hint="eastAsia" w:ascii="宋体" w:hAnsi="宋体" w:eastAsia="宋体" w:cs="Times New Roman"/>
                <w:b/>
                <w:szCs w:val="21"/>
                <w14:ligatures w14:val="none"/>
              </w:rPr>
            </w:pPr>
            <w:r>
              <w:rPr>
                <w:rFonts w:hint="eastAsia" w:ascii="宋体" w:hAnsi="宋体" w:eastAsia="宋体" w:cs="Times New Roman"/>
                <w:b/>
                <w:szCs w:val="21"/>
                <w14:ligatures w14:val="none"/>
              </w:rPr>
              <w:t>第一个信封（商务文件）评审标准：</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w:t>
            </w:r>
          </w:p>
          <w:p>
            <w:pPr>
              <w:tabs>
                <w:tab w:val="left" w:pos="3060"/>
              </w:tabs>
              <w:spacing w:line="32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a．投标函按招标文件规定填报了招标人名称、项目名称、补遗书编号（如有）、项目负责人相关信息、质量要求、安全目标、服务期限等内容；</w:t>
            </w:r>
          </w:p>
          <w:p>
            <w:pPr>
              <w:tabs>
                <w:tab w:val="left" w:pos="3060"/>
              </w:tabs>
              <w:spacing w:line="32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b．投标文件组成齐全完整，内容均按规定填写。</w:t>
            </w:r>
          </w:p>
          <w:p>
            <w:pPr>
              <w:tabs>
                <w:tab w:val="left" w:pos="3060"/>
              </w:tabs>
              <w:spacing w:line="320" w:lineRule="exact"/>
              <w:ind w:firstLine="210" w:firstLineChars="100"/>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2</w:t>
            </w:r>
            <w:r>
              <w:rPr>
                <w:rFonts w:hint="eastAsia" w:ascii="宋体" w:hAnsi="宋体" w:eastAsia="宋体" w:cs="Times New Roman"/>
                <w:bCs/>
                <w:szCs w:val="21"/>
                <w14:ligatures w14:val="none"/>
              </w:rPr>
              <w:t>）投标文件上法定代表人或其授权代理人的签字、投标人的单位章盖章齐全，符合招标文件规定。</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宋体"/>
                <w:szCs w:val="21"/>
                <w14:ligatures w14:val="none"/>
              </w:rPr>
              <w:t>（3）投标人按照招标文件的规定提供了投标保证金，满足招标文件投标人须知前附表第3.4.1款。</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4</w:t>
            </w:r>
            <w:r>
              <w:rPr>
                <w:rFonts w:hint="eastAsia" w:ascii="宋体" w:hAnsi="宋体" w:eastAsia="宋体" w:cs="Times New Roman"/>
                <w:szCs w:val="21"/>
                <w14:ligatures w14:val="none"/>
              </w:rPr>
              <w:t>）投标人法定代表人授权委托代理人签署投标文件的，须提交授权委托书，授权委托书符合招标文件规定。</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（5）投标人法定代表人亲自签署投标文件的，提供了法定代表人身份证明，法定代表人身份证明符合招标文件规定。</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（6）投标人以联合体形式投标时，联合体满足招标文件投标人须知1.4.2款的要求。</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（7）</w:t>
            </w:r>
            <w:r>
              <w:rPr>
                <w:rFonts w:ascii="宋体" w:hAnsi="宋体" w:eastAsia="宋体" w:cs="Times New Roman"/>
                <w:szCs w:val="21"/>
                <w14:ligatures w14:val="none"/>
              </w:rPr>
              <w:t>投标人未对本项目提出分包计划</w:t>
            </w:r>
            <w:r>
              <w:rPr>
                <w:rFonts w:hint="eastAsia" w:ascii="宋体" w:hAnsi="宋体" w:eastAsia="宋体" w:cs="Times New Roman"/>
                <w:szCs w:val="21"/>
                <w14:ligatures w14:val="none"/>
              </w:rPr>
              <w:t>。</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（8）投标人未提交两个以上不同的投标文件或备选方案。</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（9）投标文件中未出现有关投标报价的内容。</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（10）投标文件载明的招标项目完成期限未超过招标文件规定的时限。</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w:t>
            </w:r>
            <w:r>
              <w:rPr>
                <w:rFonts w:hint="eastAsia" w:ascii="宋体" w:hAnsi="宋体" w:eastAsia="宋体" w:cs="Times New Roman"/>
                <w:szCs w:val="21"/>
                <w14:ligatures w14:val="none"/>
              </w:rPr>
              <w:t>1）投标文件对招标文件的实质性要求和条件作出响应。</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（12）权利义务符合招标文件规定：</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a.投标人应接受招标文件规定的风险划分原则，未提出新的风险划分办法；</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b.投标人未增加发包人的责任范围，或减少投标人义务；</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c.投标人未提出不同的支付办法；</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d.投标人对合同纠纷、事故处理办法未提出异议；</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e.投标人在投标活动中无欺诈行为；</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f.投标人未对合同条款有重要保留。</w:t>
            </w:r>
          </w:p>
          <w:p>
            <w:pPr>
              <w:tabs>
                <w:tab w:val="left" w:pos="3060"/>
              </w:tabs>
              <w:spacing w:line="320" w:lineRule="exact"/>
              <w:ind w:firstLine="422"/>
              <w:rPr>
                <w:rFonts w:hint="eastAsia"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第二个信封（报价文件）评审标准：</w:t>
            </w:r>
          </w:p>
          <w:p>
            <w:pPr>
              <w:tabs>
                <w:tab w:val="left" w:pos="3060"/>
              </w:tabs>
              <w:spacing w:line="320" w:lineRule="exact"/>
              <w:ind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（1）投标文件按照招标文件规定的格式、内容填写，字迹清晰可辨，内容齐全完整：</w:t>
            </w:r>
          </w:p>
          <w:p>
            <w:pPr>
              <w:tabs>
                <w:tab w:val="left" w:pos="3060"/>
              </w:tabs>
              <w:spacing w:line="32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a．投标函按招标文件规定填报了招标人名称、项目名称、补遗书编号（如有）、投标报价（包括大写金额和小写金额）；</w:t>
            </w:r>
          </w:p>
          <w:p>
            <w:pPr>
              <w:tabs>
                <w:tab w:val="left" w:pos="3060"/>
              </w:tabs>
              <w:spacing w:line="32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b．投标文件组成齐全完整，内容均按规定填写。</w:t>
            </w:r>
          </w:p>
          <w:p>
            <w:pPr>
              <w:tabs>
                <w:tab w:val="left" w:pos="3060"/>
              </w:tabs>
              <w:spacing w:line="320" w:lineRule="exact"/>
              <w:ind w:firstLine="205" w:firstLineChars="98"/>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（2）投标文件上法定代表人或其授权代理人的签字、投标人的单位章盖章齐全，符合招标文件规定。</w:t>
            </w:r>
          </w:p>
          <w:p>
            <w:pPr>
              <w:tabs>
                <w:tab w:val="left" w:pos="3060"/>
              </w:tabs>
              <w:spacing w:line="320" w:lineRule="exact"/>
              <w:ind w:firstLine="205" w:firstLineChars="98"/>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3</w:t>
            </w:r>
            <w:r>
              <w:rPr>
                <w:rFonts w:hint="eastAsia" w:ascii="宋体" w:hAnsi="宋体" w:eastAsia="宋体" w:cs="Times New Roman"/>
                <w:bCs/>
                <w:szCs w:val="21"/>
                <w14:ligatures w14:val="none"/>
              </w:rPr>
              <w:t>）投标报价及各分项报价均未超过招标文件设定的最高投标限价。</w:t>
            </w:r>
          </w:p>
          <w:p>
            <w:pPr>
              <w:tabs>
                <w:tab w:val="left" w:pos="3060"/>
              </w:tabs>
              <w:spacing w:line="320" w:lineRule="exact"/>
              <w:ind w:firstLine="205" w:firstLineChars="98"/>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4</w:t>
            </w:r>
            <w:r>
              <w:rPr>
                <w:rFonts w:hint="eastAsia" w:ascii="宋体" w:hAnsi="宋体" w:eastAsia="宋体" w:cs="Times New Roman"/>
                <w:bCs/>
                <w:szCs w:val="21"/>
                <w14:ligatures w14:val="none"/>
              </w:rPr>
              <w:t>）投标报价中报价的大写金额能够确定具体数值。</w:t>
            </w:r>
          </w:p>
          <w:p>
            <w:pPr>
              <w:tabs>
                <w:tab w:val="left" w:pos="3060"/>
              </w:tabs>
              <w:spacing w:line="320" w:lineRule="exact"/>
              <w:ind w:firstLine="205" w:firstLineChars="98"/>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5</w:t>
            </w:r>
            <w:r>
              <w:rPr>
                <w:rFonts w:hint="eastAsia" w:ascii="宋体" w:hAnsi="宋体" w:eastAsia="宋体" w:cs="Times New Roman"/>
                <w:bCs/>
                <w:szCs w:val="21"/>
                <w14:ligatures w14:val="none"/>
              </w:rPr>
              <w:t>）投标人未提交两个以上不同的投标报价。</w:t>
            </w:r>
          </w:p>
          <w:p>
            <w:pPr>
              <w:tabs>
                <w:tab w:val="left" w:pos="3060"/>
              </w:tabs>
              <w:spacing w:line="320" w:lineRule="exact"/>
              <w:ind w:firstLine="205" w:firstLineChars="98"/>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（6）</w:t>
            </w:r>
            <w:r>
              <w:rPr>
                <w:rFonts w:hint="eastAsia" w:ascii="宋体" w:hAnsi="宋体" w:eastAsia="宋体" w:cs="Times New Roman"/>
                <w:szCs w:val="21"/>
                <w14:ligatures w14:val="none"/>
              </w:rPr>
              <w:t>报价费用清单</w:t>
            </w:r>
            <w:r>
              <w:rPr>
                <w:rFonts w:hint="eastAsia" w:ascii="宋体" w:hAnsi="宋体" w:eastAsia="宋体" w:cs="Times New Roman"/>
                <w:bCs/>
                <w:szCs w:val="21"/>
                <w14:ligatures w14:val="none"/>
              </w:rPr>
              <w:t>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425" w:type="pct"/>
            <w:vAlign w:val="center"/>
          </w:tcPr>
          <w:p>
            <w:pPr>
              <w:jc w:val="center"/>
              <w:rPr>
                <w:rFonts w:hint="eastAsia" w:ascii="宋体" w:hAnsi="宋体" w:eastAsia="宋体" w:cs="Times New Roman"/>
                <w14:ligatures w14:val="none"/>
              </w:rPr>
            </w:pPr>
            <w:r>
              <w:rPr>
                <w:rFonts w:ascii="宋体" w:hAnsi="宋体" w:eastAsia="宋体" w:cs="Times New Roman"/>
                <w14:ligatures w14:val="none"/>
              </w:rPr>
              <w:t>2.1.2</w:t>
            </w:r>
          </w:p>
        </w:tc>
        <w:tc>
          <w:tcPr>
            <w:tcW w:w="593" w:type="pct"/>
            <w:vAlign w:val="center"/>
          </w:tcPr>
          <w:p>
            <w:pPr>
              <w:jc w:val="center"/>
              <w:rPr>
                <w:rFonts w:hint="eastAsia" w:ascii="宋体" w:hAnsi="宋体" w:eastAsia="宋体" w:cs="Times New Roman"/>
                <w14:ligatures w14:val="none"/>
              </w:rPr>
            </w:pPr>
            <w:r>
              <w:rPr>
                <w:rFonts w:hint="eastAsia" w:ascii="宋体" w:hAnsi="宋体" w:eastAsia="宋体" w:cs="Times New Roman"/>
                <w14:ligatures w14:val="none"/>
              </w:rPr>
              <w:t>资格评审标准</w:t>
            </w:r>
          </w:p>
        </w:tc>
        <w:tc>
          <w:tcPr>
            <w:tcW w:w="3982" w:type="pct"/>
          </w:tcPr>
          <w:p>
            <w:pPr>
              <w:tabs>
                <w:tab w:val="left" w:pos="3060"/>
              </w:tabs>
              <w:spacing w:line="320" w:lineRule="exact"/>
              <w:ind w:firstLine="105" w:firstLineChars="50"/>
              <w:rPr>
                <w:rFonts w:hint="eastAsia" w:ascii="宋体" w:hAnsi="宋体" w:eastAsia="宋体" w:cs="Times New Roman"/>
                <w:szCs w:val="21"/>
                <w14:ligatures w14:val="none"/>
              </w:rPr>
            </w:pPr>
            <w:r>
              <w:rPr>
                <w:rFonts w:hint="eastAsia" w:ascii="宋体" w:hAnsi="宋体" w:eastAsia="宋体" w:cs="Times New Roman"/>
                <w:szCs w:val="21"/>
                <w14:ligatures w14:val="none"/>
              </w:rPr>
              <w:t>（1）投标人具备有效的营业执照</w:t>
            </w:r>
            <w:r>
              <w:rPr>
                <w:rFonts w:hint="eastAsia" w:ascii="宋体" w:hAnsi="宋体" w:eastAsia="宋体" w:cs="Times New Roman"/>
                <w:bCs/>
                <w14:ligatures w14:val="none"/>
              </w:rPr>
              <w:t>（或事业单位法人证书）</w:t>
            </w:r>
            <w:r>
              <w:rPr>
                <w:rFonts w:hint="eastAsia" w:ascii="宋体" w:hAnsi="宋体" w:eastAsia="宋体" w:cs="Times New Roman"/>
                <w:szCs w:val="21"/>
                <w14:ligatures w14:val="none"/>
              </w:rPr>
              <w:t>、资质证书和基本账户开户许可证（或基本存款账户信息）；</w:t>
            </w:r>
          </w:p>
          <w:p>
            <w:pPr>
              <w:tabs>
                <w:tab w:val="left" w:pos="3060"/>
              </w:tabs>
              <w:spacing w:line="320" w:lineRule="exact"/>
              <w:ind w:firstLine="105" w:firstLineChars="50"/>
              <w:rPr>
                <w:rFonts w:hint="eastAsia" w:ascii="宋体" w:hAnsi="宋体" w:eastAsia="宋体" w:cs="Times New Roman"/>
                <w:szCs w:val="21"/>
                <w14:ligatures w14:val="none"/>
              </w:rPr>
            </w:pPr>
            <w:r>
              <w:rPr>
                <w:rFonts w:hint="eastAsia" w:ascii="宋体" w:hAnsi="宋体" w:eastAsia="宋体" w:cs="Times New Roman"/>
                <w:szCs w:val="21"/>
                <w14:ligatures w14:val="none"/>
              </w:rPr>
              <w:t>（2）投标人的资质等级符合招标文件规定；</w:t>
            </w:r>
          </w:p>
          <w:p>
            <w:pPr>
              <w:tabs>
                <w:tab w:val="left" w:pos="3060"/>
              </w:tabs>
              <w:spacing w:line="320" w:lineRule="exact"/>
              <w:ind w:firstLine="105" w:firstLineChars="50"/>
              <w:rPr>
                <w:rFonts w:hint="eastAsia" w:ascii="宋体" w:hAnsi="宋体" w:eastAsia="宋体" w:cs="Times New Roman"/>
                <w:szCs w:val="21"/>
                <w14:ligatures w14:val="none"/>
              </w:rPr>
            </w:pPr>
            <w:r>
              <w:rPr>
                <w:rFonts w:hint="eastAsia" w:ascii="宋体" w:hAnsi="宋体" w:eastAsia="宋体" w:cs="Times New Roman"/>
                <w:szCs w:val="21"/>
                <w14:ligatures w14:val="none"/>
              </w:rPr>
              <w:t>（3）投标人的类似项目业绩符合招标文件规定；</w:t>
            </w:r>
          </w:p>
          <w:p>
            <w:pPr>
              <w:tabs>
                <w:tab w:val="left" w:pos="3060"/>
              </w:tabs>
              <w:spacing w:line="320" w:lineRule="exact"/>
              <w:ind w:firstLine="105" w:firstLineChars="50"/>
              <w:rPr>
                <w:rFonts w:hint="eastAsia" w:ascii="宋体" w:hAnsi="宋体" w:eastAsia="宋体" w:cs="Times New Roman"/>
                <w:szCs w:val="21"/>
                <w14:ligatures w14:val="none"/>
              </w:rPr>
            </w:pPr>
            <w:r>
              <w:rPr>
                <w:rFonts w:hint="eastAsia" w:ascii="宋体" w:hAnsi="宋体" w:eastAsia="宋体" w:cs="Times New Roman"/>
                <w:szCs w:val="21"/>
                <w14:ligatures w14:val="none"/>
              </w:rPr>
              <w:t>（4）投标人的信誉符合招标文件规定；</w:t>
            </w:r>
          </w:p>
          <w:p>
            <w:pPr>
              <w:tabs>
                <w:tab w:val="left" w:pos="3060"/>
              </w:tabs>
              <w:spacing w:line="320" w:lineRule="exact"/>
              <w:ind w:firstLine="105" w:firstLineChars="50"/>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（5）投标人的项目负责人资格符合招标文件规定； </w:t>
            </w:r>
          </w:p>
          <w:p>
            <w:pPr>
              <w:tabs>
                <w:tab w:val="left" w:pos="3060"/>
              </w:tabs>
              <w:spacing w:line="320" w:lineRule="exact"/>
              <w:ind w:firstLine="105" w:firstLineChars="50"/>
              <w:rPr>
                <w:rFonts w:hint="eastAsia" w:ascii="宋体" w:hAnsi="宋体" w:eastAsia="宋体" w:cs="Times New Roman"/>
                <w:szCs w:val="21"/>
                <w14:ligatures w14:val="none"/>
              </w:rPr>
            </w:pPr>
            <w:r>
              <w:rPr>
                <w:rFonts w:hint="eastAsia" w:ascii="宋体" w:hAnsi="宋体" w:eastAsia="宋体" w:cs="Times New Roman"/>
                <w:szCs w:val="21"/>
                <w14:ligatures w14:val="none"/>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hint="eastAsia" w:ascii="宋体" w:hAnsi="宋体" w:eastAsia="宋体" w:cs="Times New Roman"/>
                <w14:ligatures w14:val="none"/>
              </w:rPr>
            </w:pPr>
            <w:r>
              <w:rPr>
                <w:rFonts w:ascii="宋体" w:hAnsi="宋体" w:eastAsia="宋体" w:cs="Times New Roman"/>
                <w14:ligatures w14:val="none"/>
              </w:rPr>
              <w:t>2.2.1</w:t>
            </w:r>
          </w:p>
        </w:tc>
        <w:tc>
          <w:tcPr>
            <w:tcW w:w="593" w:type="pct"/>
            <w:vAlign w:val="center"/>
          </w:tcPr>
          <w:p>
            <w:pPr>
              <w:jc w:val="center"/>
              <w:rPr>
                <w:rFonts w:hint="eastAsia" w:ascii="宋体" w:hAnsi="宋体" w:eastAsia="宋体" w:cs="Times New Roman"/>
                <w14:ligatures w14:val="none"/>
              </w:rPr>
            </w:pPr>
            <w:r>
              <w:rPr>
                <w:rFonts w:hint="eastAsia" w:ascii="宋体" w:hAnsi="宋体" w:eastAsia="宋体" w:cs="Times New Roman"/>
                <w14:ligatures w14:val="none"/>
              </w:rPr>
              <w:t>分值构成（总分100分）</w:t>
            </w:r>
          </w:p>
        </w:tc>
        <w:tc>
          <w:tcPr>
            <w:tcW w:w="3982" w:type="pct"/>
            <w:vAlign w:val="center"/>
          </w:tcPr>
          <w:p>
            <w:pPr>
              <w:ind w:firstLine="422"/>
              <w:jc w:val="left"/>
              <w:rPr>
                <w:rFonts w:hint="eastAsia" w:ascii="宋体" w:hAnsi="宋体" w:eastAsia="宋体" w:cs="Times New Roman"/>
                <w:b/>
                <w14:ligatures w14:val="none"/>
              </w:rPr>
            </w:pPr>
            <w:r>
              <w:rPr>
                <w:rFonts w:hint="eastAsia" w:ascii="宋体" w:hAnsi="宋体" w:eastAsia="宋体" w:cs="Times New Roman"/>
                <w:b/>
                <w14:ligatures w14:val="none"/>
              </w:rPr>
              <w:t>第一个信封（商务及技术文件）评分分值构成：</w:t>
            </w:r>
          </w:p>
          <w:p>
            <w:pPr>
              <w:ind w:firstLine="422"/>
              <w:jc w:val="left"/>
              <w:rPr>
                <w:rFonts w:hint="eastAsia" w:ascii="宋体" w:hAnsi="宋体" w:eastAsia="宋体" w:cs="Times New Roman"/>
                <w:b/>
                <w14:ligatures w14:val="none"/>
              </w:rPr>
            </w:pPr>
            <w:r>
              <w:rPr>
                <w:rFonts w:hint="eastAsia" w:ascii="宋体" w:hAnsi="宋体" w:eastAsia="宋体" w:cs="Times New Roman"/>
                <w:b/>
                <w14:ligatures w14:val="none"/>
              </w:rPr>
              <w:t>技术建议书：</w:t>
            </w:r>
            <w:r>
              <w:rPr>
                <w:rFonts w:hint="eastAsia" w:ascii="宋体" w:hAnsi="宋体" w:eastAsia="宋体" w:cs="Times New Roman"/>
                <w:b/>
                <w:u w:val="single"/>
                <w14:ligatures w14:val="none"/>
              </w:rPr>
              <w:t>35</w:t>
            </w:r>
            <w:r>
              <w:rPr>
                <w:rFonts w:hint="eastAsia" w:ascii="宋体" w:hAnsi="宋体" w:eastAsia="宋体" w:cs="Times New Roman"/>
                <w:b/>
                <w14:ligatures w14:val="none"/>
              </w:rPr>
              <w:t>分</w:t>
            </w:r>
          </w:p>
          <w:p>
            <w:pPr>
              <w:ind w:firstLine="422"/>
              <w:jc w:val="left"/>
              <w:rPr>
                <w:rFonts w:hint="eastAsia" w:ascii="宋体" w:hAnsi="宋体" w:eastAsia="宋体" w:cs="Times New Roman"/>
                <w:b/>
                <w14:ligatures w14:val="none"/>
              </w:rPr>
            </w:pPr>
            <w:r>
              <w:rPr>
                <w:rFonts w:hint="eastAsia" w:ascii="宋体" w:hAnsi="宋体" w:eastAsia="宋体" w:cs="Times New Roman"/>
                <w:b/>
                <w14:ligatures w14:val="none"/>
              </w:rPr>
              <w:t>主要人员：</w:t>
            </w:r>
            <w:r>
              <w:rPr>
                <w:rFonts w:hint="eastAsia" w:ascii="宋体" w:hAnsi="宋体" w:eastAsia="宋体" w:cs="Times New Roman"/>
                <w:b/>
                <w:u w:val="single"/>
                <w14:ligatures w14:val="none"/>
              </w:rPr>
              <w:t>15</w:t>
            </w:r>
            <w:r>
              <w:rPr>
                <w:rFonts w:hint="eastAsia" w:ascii="宋体" w:hAnsi="宋体" w:eastAsia="宋体" w:cs="Times New Roman"/>
                <w:b/>
                <w14:ligatures w14:val="none"/>
              </w:rPr>
              <w:t>分</w:t>
            </w:r>
          </w:p>
          <w:p>
            <w:pPr>
              <w:ind w:firstLine="422"/>
              <w:jc w:val="left"/>
              <w:rPr>
                <w:rFonts w:hint="eastAsia" w:ascii="宋体" w:hAnsi="宋体" w:eastAsia="宋体" w:cs="Times New Roman"/>
                <w:b/>
                <w14:ligatures w14:val="none"/>
              </w:rPr>
            </w:pPr>
            <w:r>
              <w:rPr>
                <w:rFonts w:hint="eastAsia" w:ascii="宋体" w:hAnsi="宋体" w:eastAsia="宋体" w:cs="Times New Roman"/>
                <w:b/>
                <w14:ligatures w14:val="none"/>
              </w:rPr>
              <w:t>其他因素：</w:t>
            </w:r>
            <w:r>
              <w:rPr>
                <w:rFonts w:hint="eastAsia" w:ascii="宋体" w:hAnsi="宋体" w:eastAsia="宋体" w:cs="Times New Roman"/>
                <w:b/>
                <w:u w:val="single"/>
                <w14:ligatures w14:val="none"/>
              </w:rPr>
              <w:t>20</w:t>
            </w:r>
            <w:r>
              <w:rPr>
                <w:rFonts w:hint="eastAsia" w:ascii="宋体" w:hAnsi="宋体" w:eastAsia="宋体" w:cs="Times New Roman"/>
                <w:b/>
                <w14:ligatures w14:val="none"/>
              </w:rPr>
              <w:t>分</w:t>
            </w:r>
          </w:p>
          <w:p>
            <w:pPr>
              <w:ind w:firstLine="422"/>
              <w:jc w:val="left"/>
              <w:rPr>
                <w:rFonts w:hint="eastAsia" w:ascii="宋体" w:hAnsi="宋体" w:eastAsia="宋体" w:cs="Times New Roman"/>
                <w:b/>
                <w14:ligatures w14:val="none"/>
              </w:rPr>
            </w:pPr>
            <w:r>
              <w:rPr>
                <w:rFonts w:hint="eastAsia" w:ascii="宋体" w:hAnsi="宋体" w:eastAsia="宋体" w:cs="Times New Roman"/>
                <w:b/>
                <w14:ligatures w14:val="none"/>
              </w:rPr>
              <w:t>第二个信封（报价文件）评分分值构成：</w:t>
            </w:r>
          </w:p>
          <w:p>
            <w:pPr>
              <w:ind w:firstLine="422"/>
              <w:jc w:val="left"/>
              <w:rPr>
                <w:rFonts w:hint="eastAsia" w:ascii="宋体" w:hAnsi="宋体" w:eastAsia="宋体" w:cs="Times New Roman"/>
                <w:b/>
                <w14:ligatures w14:val="none"/>
              </w:rPr>
            </w:pPr>
            <w:r>
              <w:rPr>
                <w:rFonts w:hint="eastAsia" w:ascii="宋体" w:hAnsi="宋体" w:eastAsia="宋体" w:cs="Times New Roman"/>
                <w:b/>
                <w14:ligatures w14:val="none"/>
              </w:rPr>
              <w:t>评标价：</w:t>
            </w:r>
            <w:r>
              <w:rPr>
                <w:rFonts w:hint="eastAsia" w:ascii="宋体" w:hAnsi="宋体" w:eastAsia="宋体" w:cs="Times New Roman"/>
                <w:b/>
                <w:u w:val="single"/>
                <w14:ligatures w14:val="none"/>
              </w:rPr>
              <w:t>30</w:t>
            </w:r>
            <w:r>
              <w:rPr>
                <w:rFonts w:hint="eastAsia" w:ascii="宋体" w:hAnsi="宋体" w:eastAsia="宋体" w:cs="Times New Roman"/>
                <w:b/>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hint="eastAsia" w:ascii="宋体" w:hAnsi="宋体" w:eastAsia="宋体" w:cs="Times New Roman"/>
                <w14:ligatures w14:val="none"/>
              </w:rPr>
            </w:pPr>
            <w:r>
              <w:rPr>
                <w:rFonts w:ascii="宋体" w:hAnsi="宋体" w:eastAsia="宋体" w:cs="Times New Roman"/>
                <w14:ligatures w14:val="none"/>
              </w:rPr>
              <w:t>2.2.2</w:t>
            </w:r>
          </w:p>
        </w:tc>
        <w:tc>
          <w:tcPr>
            <w:tcW w:w="593" w:type="pct"/>
            <w:vAlign w:val="center"/>
          </w:tcPr>
          <w:p>
            <w:pPr>
              <w:jc w:val="center"/>
              <w:rPr>
                <w:rFonts w:hint="eastAsia" w:ascii="宋体" w:hAnsi="宋体" w:eastAsia="宋体" w:cs="Times New Roman"/>
                <w14:ligatures w14:val="none"/>
              </w:rPr>
            </w:pPr>
            <w:r>
              <w:rPr>
                <w:rFonts w:hint="eastAsia" w:ascii="宋体" w:hAnsi="宋体" w:eastAsia="宋体" w:cs="Times New Roman"/>
                <w14:ligatures w14:val="none"/>
              </w:rPr>
              <w:t>评标基准价计算方法</w:t>
            </w:r>
          </w:p>
        </w:tc>
        <w:tc>
          <w:tcPr>
            <w:tcW w:w="3982" w:type="pct"/>
            <w:vAlign w:val="center"/>
          </w:tcPr>
          <w:p>
            <w:pPr>
              <w:snapToGrid w:val="0"/>
              <w:spacing w:line="320" w:lineRule="exact"/>
              <w:ind w:firstLine="422"/>
              <w:jc w:val="left"/>
              <w:rPr>
                <w:rFonts w:hint="eastAsia" w:ascii="宋体" w:hAnsi="宋体" w:eastAsia="宋体" w:cs="Times New Roman"/>
                <w:b/>
                <w14:ligatures w14:val="none"/>
              </w:rPr>
            </w:pPr>
            <w:r>
              <w:rPr>
                <w:rFonts w:hint="eastAsia" w:ascii="宋体" w:hAnsi="宋体" w:eastAsia="宋体" w:cs="Times New Roman"/>
                <w:b/>
                <w14:ligatures w14:val="none"/>
              </w:rPr>
              <w:t>评标基准价的计算：</w:t>
            </w:r>
          </w:p>
          <w:p>
            <w:pPr>
              <w:snapToGrid w:val="0"/>
              <w:spacing w:line="320" w:lineRule="exact"/>
              <w:ind w:right="-107" w:firstLine="420"/>
              <w:rPr>
                <w:rFonts w:hint="eastAsia" w:ascii="宋体" w:hAnsi="宋体" w:eastAsia="宋体" w:cs="Times New Roman"/>
                <w:szCs w:val="21"/>
                <w14:ligatures w14:val="none"/>
              </w:rPr>
            </w:pPr>
            <w:r>
              <w:rPr>
                <w:rFonts w:hint="eastAsia" w:ascii="宋体" w:hAnsi="宋体" w:eastAsia="宋体" w:cs="Times New Roman"/>
                <w:szCs w:val="21"/>
                <w14:ligatures w14:val="none"/>
              </w:rPr>
              <w:t>在开标现场，招标人将当场计算并宣布评标基准价。</w:t>
            </w:r>
          </w:p>
          <w:p>
            <w:pPr>
              <w:snapToGrid w:val="0"/>
              <w:spacing w:line="320" w:lineRule="exact"/>
              <w:ind w:left="113" w:right="-107"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（1）评标价的确定：</w:t>
            </w:r>
          </w:p>
          <w:p>
            <w:pPr>
              <w:snapToGrid w:val="0"/>
              <w:spacing w:line="320" w:lineRule="exact"/>
              <w:ind w:left="113" w:right="-107"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评标价=投标函文字报价</w:t>
            </w:r>
          </w:p>
          <w:p>
            <w:pPr>
              <w:snapToGrid w:val="0"/>
              <w:spacing w:line="320" w:lineRule="exact"/>
              <w:ind w:left="113" w:right="-107" w:firstLine="210" w:firstLineChars="100"/>
              <w:rPr>
                <w:rFonts w:hint="eastAsia" w:ascii="宋体" w:hAnsi="宋体" w:eastAsia="宋体" w:cs="Times New Roman"/>
                <w:szCs w:val="21"/>
                <w14:ligatures w14:val="none"/>
              </w:rPr>
            </w:pPr>
            <w:r>
              <w:rPr>
                <w:rFonts w:hint="eastAsia" w:ascii="宋体" w:hAnsi="宋体" w:eastAsia="宋体" w:cs="Times New Roman"/>
                <w:szCs w:val="21"/>
                <w14:ligatures w14:val="none"/>
              </w:rPr>
              <w:t>（2）评标价平均值的计算：</w:t>
            </w:r>
          </w:p>
          <w:p>
            <w:pPr>
              <w:snapToGrid w:val="0"/>
              <w:spacing w:line="320" w:lineRule="exact"/>
              <w:ind w:right="-107" w:firstLine="426" w:firstLineChars="203"/>
              <w:rPr>
                <w:rFonts w:hint="eastAsia" w:ascii="宋体" w:hAnsi="宋体" w:eastAsia="宋体" w:cs="Times New Roman"/>
                <w:szCs w:val="21"/>
                <w14:ligatures w14:val="none"/>
              </w:rPr>
            </w:pPr>
            <w:r>
              <w:rPr>
                <w:rFonts w:hint="eastAsia" w:ascii="宋体" w:hAnsi="宋体" w:eastAsia="宋体" w:cs="Times New Roman"/>
                <w:szCs w:val="21"/>
                <w14:ligatures w14:val="none"/>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07" w:firstLine="426" w:firstLineChars="203"/>
              <w:rPr>
                <w:rFonts w:hint="eastAsia" w:ascii="宋体" w:hAnsi="宋体" w:eastAsia="宋体" w:cs="Times New Roman"/>
                <w:szCs w:val="21"/>
                <w14:ligatures w14:val="none"/>
              </w:rPr>
            </w:pPr>
            <w:r>
              <w:rPr>
                <w:rFonts w:hint="eastAsia" w:ascii="宋体" w:hAnsi="宋体" w:eastAsia="宋体" w:cs="Times New Roman"/>
                <w:szCs w:val="21"/>
                <w14:ligatures w14:val="none"/>
              </w:rPr>
              <w:t>（3）评标基准价的确定：</w:t>
            </w:r>
          </w:p>
          <w:p>
            <w:pPr>
              <w:snapToGrid w:val="0"/>
              <w:spacing w:line="320" w:lineRule="exact"/>
              <w:ind w:right="-107" w:firstLine="426" w:firstLineChars="203"/>
              <w:rPr>
                <w:rFonts w:hint="eastAsia" w:ascii="宋体" w:hAnsi="宋体" w:eastAsia="宋体" w:cs="Times New Roman"/>
                <w:szCs w:val="21"/>
                <w14:ligatures w14:val="none"/>
              </w:rPr>
            </w:pPr>
            <w:r>
              <w:rPr>
                <w:rFonts w:hint="eastAsia" w:ascii="宋体" w:hAnsi="宋体" w:eastAsia="宋体" w:cs="Times New Roman"/>
                <w:szCs w:val="21"/>
                <w14:ligatures w14:val="none"/>
              </w:rPr>
              <w:t>将评标价平均值直接作为评标基准价（评标基准价保留小数点后两位，小数点后第三位四舍五入）。</w:t>
            </w:r>
          </w:p>
          <w:p>
            <w:pPr>
              <w:snapToGrid w:val="0"/>
              <w:spacing w:line="320" w:lineRule="exact"/>
              <w:ind w:firstLine="420" w:firstLineChars="200"/>
              <w:jc w:val="left"/>
              <w:rPr>
                <w:rFonts w:hint="eastAsia" w:ascii="宋体" w:hAnsi="宋体" w:eastAsia="宋体" w:cs="Times New Roman"/>
                <w14:ligatures w14:val="none"/>
              </w:rPr>
            </w:pPr>
            <w:r>
              <w:rPr>
                <w:rFonts w:hint="eastAsia" w:ascii="宋体" w:hAnsi="宋体" w:eastAsia="宋体" w:cs="Times New Roman"/>
                <w:szCs w:val="21"/>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hint="eastAsia" w:ascii="宋体" w:hAnsi="宋体" w:eastAsia="宋体" w:cs="Times New Roman"/>
                <w14:ligatures w14:val="none"/>
              </w:rPr>
            </w:pPr>
            <w:r>
              <w:rPr>
                <w:rFonts w:ascii="宋体" w:hAnsi="宋体" w:eastAsia="宋体" w:cs="Times New Roman"/>
                <w14:ligatures w14:val="none"/>
              </w:rPr>
              <w:t>2.2.3</w:t>
            </w:r>
          </w:p>
        </w:tc>
        <w:tc>
          <w:tcPr>
            <w:tcW w:w="593" w:type="pct"/>
            <w:vAlign w:val="center"/>
          </w:tcPr>
          <w:p>
            <w:pPr>
              <w:jc w:val="center"/>
              <w:rPr>
                <w:rFonts w:hint="eastAsia" w:ascii="宋体" w:hAnsi="宋体" w:eastAsia="宋体" w:cs="Times New Roman"/>
                <w14:ligatures w14:val="none"/>
              </w:rPr>
            </w:pPr>
            <w:r>
              <w:rPr>
                <w:rFonts w:hint="eastAsia" w:ascii="宋体" w:hAnsi="宋体" w:eastAsia="宋体" w:cs="Times New Roman"/>
                <w14:ligatures w14:val="none"/>
              </w:rPr>
              <w:t>评标价的偏差率计算公式</w:t>
            </w:r>
          </w:p>
        </w:tc>
        <w:tc>
          <w:tcPr>
            <w:tcW w:w="3982" w:type="pct"/>
            <w:vAlign w:val="center"/>
          </w:tcPr>
          <w:p>
            <w:pPr>
              <w:ind w:firstLine="420"/>
              <w:jc w:val="left"/>
              <w:rPr>
                <w:rFonts w:hint="eastAsia" w:ascii="宋体" w:hAnsi="宋体" w:eastAsia="宋体" w:cs="Times New Roman"/>
                <w14:ligatures w14:val="none"/>
              </w:rPr>
            </w:pPr>
            <w:r>
              <w:rPr>
                <w:rFonts w:hint="eastAsia" w:ascii="宋体" w:hAnsi="宋体" w:eastAsia="宋体" w:cs="Times New Roman"/>
                <w14:ligatures w14: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hint="eastAsia" w:ascii="宋体" w:hAnsi="宋体" w:eastAsia="宋体" w:cs="Times New Roman"/>
                <w14:ligatures w14:val="none"/>
              </w:rPr>
            </w:pPr>
            <w:r>
              <w:rPr>
                <w:rFonts w:hint="eastAsia" w:ascii="宋体" w:hAnsi="宋体" w:eastAsia="宋体" w:cs="Times New Roman"/>
                <w14:ligatures w14:val="none"/>
              </w:rPr>
              <w:t>3</w:t>
            </w:r>
            <w:r>
              <w:rPr>
                <w:rFonts w:ascii="宋体" w:hAnsi="宋体" w:eastAsia="宋体" w:cs="Times New Roman"/>
                <w14:ligatures w14:val="none"/>
              </w:rPr>
              <w:t>.6.1</w:t>
            </w:r>
          </w:p>
        </w:tc>
        <w:tc>
          <w:tcPr>
            <w:tcW w:w="593" w:type="pct"/>
            <w:vAlign w:val="center"/>
          </w:tcPr>
          <w:p>
            <w:pPr>
              <w:adjustRightInd w:val="0"/>
              <w:snapToGrid w:val="0"/>
              <w:spacing w:line="300" w:lineRule="exact"/>
              <w:jc w:val="center"/>
              <w:rPr>
                <w:rFonts w:hint="eastAsia" w:ascii="宋体" w:hAnsi="宋体" w:eastAsia="宋体" w:cs="Times New Roman"/>
                <w14:ligatures w14:val="none"/>
              </w:rPr>
            </w:pPr>
            <w:r>
              <w:rPr>
                <w:rFonts w:hint="eastAsia" w:ascii="宋体" w:hAnsi="宋体" w:eastAsia="宋体" w:cs="Times New Roman"/>
                <w14:ligatures w14:val="none"/>
              </w:rPr>
              <w:t>信息查询</w:t>
            </w:r>
          </w:p>
        </w:tc>
        <w:tc>
          <w:tcPr>
            <w:tcW w:w="3982" w:type="pct"/>
            <w:vAlign w:val="center"/>
          </w:tcPr>
          <w:p>
            <w:pPr>
              <w:autoSpaceDE w:val="0"/>
              <w:autoSpaceDN w:val="0"/>
              <w:spacing w:line="273" w:lineRule="auto"/>
              <w:ind w:firstLine="420"/>
              <w:rPr>
                <w:rFonts w:hint="eastAsia" w:ascii="宋体" w:hAnsi="宋体" w:eastAsia="宋体" w:cs="Times New Roman"/>
                <w14:ligatures w14:val="none"/>
              </w:rPr>
            </w:pPr>
            <w:r>
              <w:rPr>
                <w:rFonts w:hint="eastAsia" w:ascii="宋体" w:hAnsi="宋体" w:eastAsia="宋体" w:cs="Times New Roman"/>
                <w14:ligatures w14:val="none"/>
              </w:rPr>
              <w:t>本款修改为：</w:t>
            </w:r>
          </w:p>
          <w:p>
            <w:pPr>
              <w:autoSpaceDE w:val="0"/>
              <w:autoSpaceDN w:val="0"/>
              <w:spacing w:line="320" w:lineRule="exact"/>
              <w:rPr>
                <w:rFonts w:ascii="Times New Roman" w:hAnsi="Times New Roman" w:eastAsia="宋体" w:cs="Times New Roman"/>
                <w14:ligatures w14:val="none"/>
              </w:rPr>
            </w:pPr>
            <w:r>
              <w:rPr>
                <w:rFonts w:hint="eastAsia" w:ascii="Times New Roman" w:hAnsi="Times New Roman" w:eastAsia="宋体" w:cs="Times New Roman"/>
                <w14:ligatures w14:val="none"/>
              </w:rPr>
              <w:t>（1）投标人信用情况网页截图内容与在“国家企业信用信息公示系统”中严重违法失信企业名单（不含分公司，事业单位投标人不适用，下同）或在“信用中国”网站（http://www.creditchina.gov.cn/)中被列入失信被执行人、经营异常名录、重大税收违法失信主体、政府采购严重违法失信行为记录名单、安全生产严重失信主体名单（均不含分公司，下同）的复核结果一致。如投标人未提供相关网页截图或所附截图与复核结果不一致，评标委员会应否决其投标。</w:t>
            </w:r>
          </w:p>
          <w:p>
            <w:pPr>
              <w:autoSpaceDE w:val="0"/>
              <w:autoSpaceDN w:val="0"/>
              <w:spacing w:line="320" w:lineRule="exact"/>
              <w:rPr>
                <w:rFonts w:ascii="Times New Roman" w:hAnsi="Times New Roman" w:eastAsia="宋体" w:cs="Times New Roman"/>
                <w14:ligatures w14:val="none"/>
              </w:rPr>
            </w:pPr>
            <w:r>
              <w:rPr>
                <w:rFonts w:hint="eastAsia" w:ascii="Times New Roman" w:hAnsi="Times New Roman" w:eastAsia="宋体" w:cs="Times New Roman"/>
                <w14:ligatures w14:val="none"/>
              </w:rPr>
              <w:t>（2）评标委员会在评标时按照投标人提供的验证方式对电子保函或电子保证保险进行验证。如投标人未提供银行保函（电子）、电子保函或电子保证保险的验证方式，或根据提供的验证方式无法核实的，评标委员会应否决其投标。</w:t>
            </w:r>
          </w:p>
          <w:p>
            <w:pPr>
              <w:autoSpaceDE w:val="0"/>
              <w:autoSpaceDN w:val="0"/>
              <w:spacing w:line="273" w:lineRule="auto"/>
              <w:ind w:firstLine="420" w:firstLineChars="200"/>
              <w:rPr>
                <w:rFonts w:ascii="Times New Roman" w:hAnsi="Times New Roman" w:eastAsia="宋体" w:cs="Times New Roman"/>
                <w14:ligatures w14:val="none"/>
              </w:rPr>
            </w:pPr>
            <w:r>
              <w:rPr>
                <w:rFonts w:hint="eastAsia" w:ascii="Times New Roman" w:hAnsi="Times New Roman" w:eastAsia="宋体" w:cs="Times New Roman"/>
                <w14:ligatures w14:val="none"/>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3"/>
            <w:vAlign w:val="center"/>
          </w:tcPr>
          <w:p>
            <w:pPr>
              <w:jc w:val="left"/>
              <w:rPr>
                <w:rFonts w:hint="eastAsia" w:ascii="宋体" w:hAnsi="宋体" w:eastAsia="宋体" w:cs="Times New Roman"/>
                <w:bCs/>
                <w:szCs w:val="21"/>
                <w14:ligatures w14:val="none"/>
              </w:rPr>
            </w:pPr>
            <w:r>
              <w:rPr>
                <w:rFonts w:hint="eastAsia" w:ascii="宋体" w:hAnsi="宋体" w:eastAsia="宋体" w:cs="Times New Roman"/>
                <w:szCs w:val="21"/>
                <w14:ligatures w14:val="none"/>
              </w:rPr>
              <w:t>需要补充的其他内容：</w:t>
            </w:r>
            <w:r>
              <w:rPr>
                <w:rFonts w:hint="eastAsia" w:ascii="宋体" w:hAnsi="宋体" w:eastAsia="宋体" w:cs="Times New Roman"/>
                <w:bCs/>
                <w:szCs w:val="21"/>
                <w14:ligatures w14:val="none"/>
              </w:rPr>
              <w:t>无</w:t>
            </w:r>
          </w:p>
        </w:tc>
      </w:tr>
    </w:tbl>
    <w:p>
      <w:pPr>
        <w:ind w:firstLine="420"/>
        <w:rPr>
          <w:rFonts w:ascii="Calibri" w:hAnsi="Calibri" w:eastAsia="宋体" w:cs="Times New Roman"/>
          <w14:ligatures w14:val="none"/>
        </w:rPr>
      </w:pPr>
    </w:p>
    <w:p>
      <w:pPr>
        <w:ind w:firstLine="420"/>
        <w:jc w:val="right"/>
        <w:rPr>
          <w:rFonts w:ascii="Calibri" w:hAnsi="Calibri" w:eastAsia="宋体" w:cs="Times New Roman"/>
          <w14:ligatures w14:val="none"/>
        </w:rPr>
      </w:pPr>
      <w:r>
        <w:rPr>
          <w:rFonts w:ascii="Calibri" w:hAnsi="Calibri" w:eastAsia="宋体" w:cs="Times New Roman"/>
          <w14:ligatures w14:val="none"/>
        </w:rPr>
        <w:br w:type="page"/>
      </w:r>
      <w:bookmarkEnd w:id="0"/>
      <w:r>
        <w:rPr>
          <w:rFonts w:hint="eastAsia" w:ascii="Calibri" w:hAnsi="Calibri" w:eastAsia="宋体" w:cs="Times New Roman"/>
          <w14:ligatures w14:val="none"/>
        </w:rPr>
        <w:t>续上表</w:t>
      </w:r>
    </w:p>
    <w:tbl>
      <w:tblPr>
        <w:tblStyle w:val="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925"/>
        <w:gridCol w:w="488"/>
        <w:gridCol w:w="703"/>
        <w:gridCol w:w="1490"/>
        <w:gridCol w:w="674"/>
        <w:gridCol w:w="44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531" w:type="pct"/>
            <w:vAlign w:val="center"/>
          </w:tcPr>
          <w:p>
            <w:pPr>
              <w:autoSpaceDE w:val="0"/>
              <w:autoSpaceDN w:val="0"/>
              <w:spacing w:line="440" w:lineRule="exact"/>
              <w:ind w:right="-107" w:firstLine="211" w:firstLineChars="100"/>
              <w:rPr>
                <w:rFonts w:hint="eastAsia" w:ascii="宋体" w:hAnsi="宋体" w:eastAsia="宋体" w:cs="宋体"/>
                <w:b/>
                <w:kern w:val="0"/>
                <w:szCs w:val="21"/>
                <w14:ligatures w14:val="none"/>
              </w:rPr>
            </w:pPr>
            <w:bookmarkStart w:id="20" w:name="_Hlk174348394"/>
            <w:r>
              <w:rPr>
                <w:rFonts w:hint="eastAsia" w:ascii="宋体" w:hAnsi="宋体" w:eastAsia="宋体" w:cs="宋体"/>
                <w:b/>
                <w:kern w:val="0"/>
                <w:szCs w:val="21"/>
                <w14:ligatures w14:val="none"/>
              </w:rPr>
              <w:t>条款号</w:t>
            </w:r>
          </w:p>
        </w:tc>
        <w:tc>
          <w:tcPr>
            <w:tcW w:w="1927" w:type="pct"/>
            <w:gridSpan w:val="4"/>
            <w:tcBorders>
              <w:right w:val="single" w:color="auto" w:sz="4" w:space="0"/>
            </w:tcBorders>
            <w:vAlign w:val="center"/>
          </w:tcPr>
          <w:p>
            <w:pPr>
              <w:autoSpaceDE w:val="0"/>
              <w:autoSpaceDN w:val="0"/>
              <w:spacing w:line="440" w:lineRule="exact"/>
              <w:ind w:right="-107" w:firstLine="422"/>
              <w:jc w:val="center"/>
              <w:rPr>
                <w:rFonts w:hint="eastAsia" w:ascii="宋体" w:hAnsi="宋体" w:eastAsia="宋体" w:cs="宋体"/>
                <w:b/>
                <w:kern w:val="0"/>
                <w:szCs w:val="21"/>
                <w14:ligatures w14:val="none"/>
              </w:rPr>
            </w:pPr>
            <w:r>
              <w:rPr>
                <w:rFonts w:hint="eastAsia" w:ascii="宋体" w:hAnsi="宋体" w:eastAsia="宋体" w:cs="宋体"/>
                <w:b/>
                <w:kern w:val="0"/>
                <w:szCs w:val="21"/>
                <w14:ligatures w14:val="none"/>
              </w:rPr>
              <w:t>评审因素与权重分值</w:t>
            </w:r>
          </w:p>
        </w:tc>
        <w:tc>
          <w:tcPr>
            <w:tcW w:w="2542" w:type="pct"/>
            <w:vMerge w:val="restart"/>
            <w:tcBorders>
              <w:left w:val="single" w:color="auto" w:sz="4" w:space="0"/>
            </w:tcBorders>
            <w:vAlign w:val="center"/>
          </w:tcPr>
          <w:p>
            <w:pPr>
              <w:autoSpaceDE w:val="0"/>
              <w:autoSpaceDN w:val="0"/>
              <w:spacing w:line="440" w:lineRule="exact"/>
              <w:ind w:right="-107" w:firstLine="422"/>
              <w:jc w:val="center"/>
              <w:rPr>
                <w:rFonts w:hint="eastAsia" w:ascii="宋体" w:hAnsi="宋体" w:eastAsia="宋体" w:cs="宋体"/>
                <w:b/>
                <w:kern w:val="0"/>
                <w:szCs w:val="21"/>
                <w14:ligatures w14:val="none"/>
              </w:rPr>
            </w:pPr>
            <w:r>
              <w:rPr>
                <w:rFonts w:hint="eastAsia" w:ascii="宋体" w:hAnsi="宋体" w:eastAsia="宋体" w:cs="宋体"/>
                <w:b/>
                <w:kern w:val="0"/>
                <w:szCs w:val="21"/>
                <w14:ligatures w14: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531" w:type="pct"/>
            <w:vMerge w:val="restart"/>
            <w:vAlign w:val="center"/>
          </w:tcPr>
          <w:p>
            <w:pPr>
              <w:jc w:val="center"/>
              <w:rPr>
                <w:rFonts w:hint="eastAsia" w:ascii="宋体" w:hAnsi="宋体" w:eastAsia="宋体" w:cs="宋体"/>
                <w:kern w:val="0"/>
                <w:szCs w:val="21"/>
                <w14:ligatures w14:val="none"/>
              </w:rPr>
            </w:pPr>
            <w:r>
              <w:rPr>
                <w:rFonts w:hint="eastAsia" w:ascii="宋体" w:hAnsi="宋体" w:eastAsia="宋体" w:cs="Times New Roman"/>
                <w:szCs w:val="21"/>
                <w14:ligatures w14:val="none"/>
              </w:rPr>
              <w:t>2.2.4(1)</w:t>
            </w:r>
          </w:p>
        </w:tc>
        <w:tc>
          <w:tcPr>
            <w:tcW w:w="280" w:type="pct"/>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评分</w:t>
            </w:r>
          </w:p>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因素</w:t>
            </w:r>
          </w:p>
        </w:tc>
        <w:tc>
          <w:tcPr>
            <w:tcW w:w="404" w:type="pct"/>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评分因素权重分值</w:t>
            </w:r>
          </w:p>
        </w:tc>
        <w:tc>
          <w:tcPr>
            <w:tcW w:w="856" w:type="pct"/>
            <w:tcBorders>
              <w:right w:val="single" w:color="auto" w:sz="4" w:space="0"/>
            </w:tcBorders>
            <w:vAlign w:val="center"/>
          </w:tcPr>
          <w:p>
            <w:pPr>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各评分因素</w:t>
            </w:r>
          </w:p>
          <w:p>
            <w:pPr>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细分项</w:t>
            </w:r>
          </w:p>
        </w:tc>
        <w:tc>
          <w:tcPr>
            <w:tcW w:w="385" w:type="pct"/>
            <w:tcBorders>
              <w:left w:val="single" w:color="auto" w:sz="4" w:space="0"/>
              <w:right w:val="single" w:color="auto" w:sz="4" w:space="0"/>
            </w:tcBorders>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分值</w:t>
            </w:r>
          </w:p>
        </w:tc>
        <w:tc>
          <w:tcPr>
            <w:tcW w:w="2542" w:type="pct"/>
            <w:vMerge w:val="continue"/>
            <w:tcBorders>
              <w:left w:val="single" w:color="auto" w:sz="4" w:space="0"/>
              <w:bottom w:val="single" w:color="auto" w:sz="4" w:space="0"/>
            </w:tcBorders>
            <w:vAlign w:val="center"/>
          </w:tcPr>
          <w:p>
            <w:pPr>
              <w:autoSpaceDE w:val="0"/>
              <w:autoSpaceDN w:val="0"/>
              <w:snapToGrid w:val="0"/>
              <w:ind w:right="-107" w:firstLine="420"/>
              <w:jc w:val="center"/>
              <w:rPr>
                <w:rFonts w:hint="eastAsia" w:ascii="宋体" w:hAnsi="宋体" w:eastAsia="宋体" w:cs="宋体"/>
                <w:kern w:val="0"/>
                <w:szCs w:val="21"/>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31" w:type="pct"/>
            <w:vMerge w:val="continue"/>
            <w:vAlign w:val="center"/>
          </w:tcPr>
          <w:p>
            <w:pPr>
              <w:autoSpaceDE w:val="0"/>
              <w:autoSpaceDN w:val="0"/>
              <w:snapToGrid w:val="0"/>
              <w:ind w:right="-107" w:firstLine="420"/>
              <w:jc w:val="center"/>
              <w:rPr>
                <w:rFonts w:hint="eastAsia" w:ascii="宋体" w:hAnsi="宋体" w:eastAsia="宋体" w:cs="宋体"/>
                <w:kern w:val="0"/>
                <w:szCs w:val="21"/>
                <w14:ligatures w14:val="none"/>
              </w:rPr>
            </w:pPr>
          </w:p>
        </w:tc>
        <w:tc>
          <w:tcPr>
            <w:tcW w:w="280" w:type="pct"/>
            <w:vMerge w:val="restart"/>
            <w:vAlign w:val="center"/>
          </w:tcPr>
          <w:p>
            <w:pPr>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技术建议书</w:t>
            </w:r>
          </w:p>
        </w:tc>
        <w:tc>
          <w:tcPr>
            <w:tcW w:w="404" w:type="pct"/>
            <w:vMerge w:val="restart"/>
            <w:vAlign w:val="center"/>
          </w:tcPr>
          <w:p>
            <w:pPr>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35分</w:t>
            </w:r>
          </w:p>
        </w:tc>
        <w:tc>
          <w:tcPr>
            <w:tcW w:w="856" w:type="pct"/>
            <w:tcBorders>
              <w:right w:val="single" w:color="auto" w:sz="4" w:space="0"/>
            </w:tcBorders>
            <w:vAlign w:val="center"/>
          </w:tcPr>
          <w:p>
            <w:pPr>
              <w:jc w:val="center"/>
              <w:rPr>
                <w:rFonts w:hint="eastAsia" w:ascii="宋体" w:hAnsi="宋体" w:eastAsia="宋体" w:cs="Times New Roman"/>
                <w:szCs w:val="21"/>
                <w14:ligatures w14:val="none"/>
              </w:rPr>
            </w:pPr>
            <w:r>
              <w:rPr>
                <w:rFonts w:ascii="Times New Roman" w:hAnsi="Times New Roman" w:eastAsia="宋体" w:cs="Times New Roman"/>
                <w:szCs w:val="21"/>
                <w14:ligatures w14:val="none"/>
              </w:rPr>
              <w:t>总体方案</w:t>
            </w:r>
          </w:p>
        </w:tc>
        <w:tc>
          <w:tcPr>
            <w:tcW w:w="385" w:type="pct"/>
            <w:tcBorders>
              <w:left w:val="single" w:color="auto" w:sz="4" w:space="0"/>
              <w:right w:val="single" w:color="auto" w:sz="4" w:space="0"/>
            </w:tcBorders>
            <w:vAlign w:val="center"/>
          </w:tcPr>
          <w:p>
            <w:pPr>
              <w:jc w:val="center"/>
              <w:rPr>
                <w:rFonts w:hint="eastAsia" w:ascii="宋体" w:hAnsi="宋体" w:eastAsia="宋体" w:cs="Times New Roman"/>
                <w:szCs w:val="21"/>
                <w14:ligatures w14:val="none"/>
              </w:rPr>
            </w:pPr>
            <w:r>
              <w:rPr>
                <w:rFonts w:hint="eastAsia" w:ascii="Times New Roman" w:hAnsi="Times New Roman" w:eastAsia="宋体" w:cs="Times New Roman"/>
                <w:szCs w:val="21"/>
                <w14:ligatures w14:val="none"/>
              </w:rPr>
              <w:t>10</w:t>
            </w:r>
            <w:r>
              <w:rPr>
                <w:rFonts w:ascii="Times New Roman" w:hAnsi="Times New Roman" w:eastAsia="宋体" w:cs="Times New Roman"/>
                <w:szCs w:val="21"/>
                <w14:ligatures w14:val="none"/>
              </w:rPr>
              <w:t>分</w:t>
            </w:r>
          </w:p>
        </w:tc>
        <w:tc>
          <w:tcPr>
            <w:tcW w:w="2542" w:type="pct"/>
            <w:tcBorders>
              <w:top w:val="single" w:color="auto" w:sz="4" w:space="0"/>
              <w:left w:val="single" w:color="auto" w:sz="4" w:space="0"/>
            </w:tcBorders>
            <w:vAlign w:val="center"/>
          </w:tcPr>
          <w:p>
            <w:pPr>
              <w:adjustRightInd w:val="0"/>
              <w:snapToGrid w:val="0"/>
              <w:spacing w:line="320" w:lineRule="exact"/>
              <w:jc w:val="left"/>
              <w:rPr>
                <w:rFonts w:hint="eastAsia" w:ascii="宋体" w:hAnsi="宋体" w:eastAsia="宋体" w:cs="Times New Roman"/>
                <w:kern w:val="0"/>
                <w:szCs w:val="21"/>
                <w14:ligatures w14:val="none"/>
              </w:rPr>
            </w:pPr>
            <w:r>
              <w:rPr>
                <w:rFonts w:ascii="Times New Roman" w:hAnsi="Times New Roman" w:eastAsia="宋体" w:cs="Times New Roman"/>
                <w:szCs w:val="21"/>
                <w14:ligatures w14:val="none"/>
              </w:rPr>
              <w:t>审计工作的总体规划合理、清晰、详细、全面，具有建设性意见及措施，得</w:t>
            </w:r>
            <w:r>
              <w:rPr>
                <w:rFonts w:hint="eastAsia" w:ascii="Times New Roman" w:hAnsi="Times New Roman" w:eastAsia="宋体" w:cs="Times New Roman"/>
                <w:szCs w:val="21"/>
                <w14:ligatures w14:val="none"/>
              </w:rPr>
              <w:t>8</w:t>
            </w: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0（不含）</w:t>
            </w: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10（含）</w:t>
            </w:r>
            <w:r>
              <w:rPr>
                <w:rFonts w:ascii="Times New Roman" w:hAnsi="Times New Roman" w:eastAsia="宋体" w:cs="Times New Roman"/>
                <w:szCs w:val="21"/>
                <w14:ligatures w14:val="none"/>
              </w:rPr>
              <w:t>分；较合理、清晰、详细、全面，得</w:t>
            </w:r>
            <w:r>
              <w:rPr>
                <w:rFonts w:hint="eastAsia" w:ascii="Times New Roman" w:hAnsi="Times New Roman" w:eastAsia="宋体" w:cs="Times New Roman"/>
                <w:szCs w:val="21"/>
                <w14:ligatures w14:val="none"/>
              </w:rPr>
              <w:t>6</w:t>
            </w:r>
            <w:r>
              <w:rPr>
                <w:rFonts w:ascii="Times New Roman" w:hAnsi="Times New Roman" w:eastAsia="宋体" w:cs="Times New Roman"/>
                <w:szCs w:val="21"/>
                <w14:ligatures w14:val="none"/>
              </w:rPr>
              <w:t>.0（不含）-</w:t>
            </w:r>
            <w:r>
              <w:rPr>
                <w:rFonts w:hint="eastAsia" w:ascii="Times New Roman" w:hAnsi="Times New Roman" w:eastAsia="宋体" w:cs="Times New Roman"/>
                <w:szCs w:val="21"/>
                <w14:ligatures w14:val="none"/>
              </w:rPr>
              <w:t>8</w:t>
            </w:r>
            <w:r>
              <w:rPr>
                <w:rFonts w:ascii="Times New Roman" w:hAnsi="Times New Roman" w:eastAsia="宋体" w:cs="Times New Roman"/>
                <w:szCs w:val="21"/>
                <w14:ligatures w14:val="none"/>
              </w:rPr>
              <w:t>.0（含） 分；一般，得</w:t>
            </w:r>
            <w:r>
              <w:rPr>
                <w:rFonts w:hint="eastAsia" w:ascii="Times New Roman" w:hAnsi="Times New Roman" w:eastAsia="宋体" w:cs="Times New Roman"/>
                <w:szCs w:val="21"/>
                <w14:ligatures w14:val="none"/>
              </w:rPr>
              <w:t>6.0</w:t>
            </w:r>
            <w:r>
              <w:rPr>
                <w:rFonts w:ascii="Times New Roman" w:hAnsi="Times New Roman" w:eastAsia="宋体" w:cs="Times New Roman"/>
                <w:szCs w:val="21"/>
                <w14:ligatures w14: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31" w:type="pct"/>
            <w:vMerge w:val="continue"/>
            <w:vAlign w:val="center"/>
          </w:tcPr>
          <w:p>
            <w:pPr>
              <w:autoSpaceDE w:val="0"/>
              <w:autoSpaceDN w:val="0"/>
              <w:snapToGrid w:val="0"/>
              <w:ind w:right="-107" w:firstLine="420"/>
              <w:jc w:val="center"/>
              <w:rPr>
                <w:rFonts w:hint="eastAsia" w:ascii="宋体" w:hAnsi="宋体" w:eastAsia="宋体" w:cs="宋体"/>
                <w:kern w:val="0"/>
                <w:szCs w:val="21"/>
                <w14:ligatures w14:val="none"/>
              </w:rPr>
            </w:pPr>
          </w:p>
        </w:tc>
        <w:tc>
          <w:tcPr>
            <w:tcW w:w="280" w:type="pct"/>
            <w:vMerge w:val="continue"/>
            <w:vAlign w:val="center"/>
          </w:tcPr>
          <w:p>
            <w:pPr>
              <w:jc w:val="center"/>
              <w:rPr>
                <w:rFonts w:hint="eastAsia" w:ascii="宋体" w:hAnsi="宋体" w:eastAsia="宋体" w:cs="宋体"/>
                <w:kern w:val="0"/>
                <w:szCs w:val="21"/>
                <w14:ligatures w14:val="none"/>
              </w:rPr>
            </w:pPr>
          </w:p>
        </w:tc>
        <w:tc>
          <w:tcPr>
            <w:tcW w:w="404" w:type="pct"/>
            <w:vMerge w:val="continue"/>
            <w:vAlign w:val="center"/>
          </w:tcPr>
          <w:p>
            <w:pPr>
              <w:jc w:val="center"/>
              <w:rPr>
                <w:rFonts w:hint="eastAsia" w:ascii="宋体" w:hAnsi="宋体" w:eastAsia="宋体" w:cs="宋体"/>
                <w:kern w:val="0"/>
                <w:szCs w:val="21"/>
                <w14:ligatures w14:val="none"/>
              </w:rPr>
            </w:pPr>
          </w:p>
        </w:tc>
        <w:tc>
          <w:tcPr>
            <w:tcW w:w="856" w:type="pct"/>
            <w:tcBorders>
              <w:right w:val="single" w:color="auto" w:sz="4" w:space="0"/>
            </w:tcBorders>
            <w:vAlign w:val="center"/>
          </w:tcPr>
          <w:p>
            <w:pPr>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审计范围、内容、步骤及程序</w:t>
            </w:r>
          </w:p>
        </w:tc>
        <w:tc>
          <w:tcPr>
            <w:tcW w:w="385" w:type="pct"/>
            <w:tcBorders>
              <w:left w:val="single" w:color="auto" w:sz="4" w:space="0"/>
              <w:right w:val="single" w:color="auto" w:sz="4" w:space="0"/>
            </w:tcBorders>
            <w:vAlign w:val="center"/>
          </w:tcPr>
          <w:p>
            <w:pPr>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10</w:t>
            </w:r>
            <w:r>
              <w:rPr>
                <w:rFonts w:ascii="Times New Roman" w:hAnsi="Times New Roman" w:eastAsia="宋体" w:cs="Times New Roman"/>
                <w:szCs w:val="21"/>
                <w14:ligatures w14:val="none"/>
              </w:rPr>
              <w:t>分</w:t>
            </w:r>
          </w:p>
        </w:tc>
        <w:tc>
          <w:tcPr>
            <w:tcW w:w="2542" w:type="pct"/>
            <w:tcBorders>
              <w:top w:val="single" w:color="auto" w:sz="4" w:space="0"/>
              <w:left w:val="single" w:color="auto" w:sz="4" w:space="0"/>
            </w:tcBorders>
            <w:vAlign w:val="center"/>
          </w:tcPr>
          <w:p>
            <w:pPr>
              <w:adjustRightInd w:val="0"/>
              <w:snapToGrid w:val="0"/>
              <w:spacing w:line="320" w:lineRule="exact"/>
              <w:jc w:val="left"/>
              <w:rPr>
                <w:rFonts w:ascii="Times New Roman" w:hAnsi="Times New Roman" w:eastAsia="宋体" w:cs="Times New Roman"/>
                <w:szCs w:val="21"/>
                <w14:ligatures w14:val="none"/>
              </w:rPr>
            </w:pPr>
            <w:r>
              <w:rPr>
                <w:rFonts w:hint="eastAsia" w:ascii="宋体" w:hAnsi="宋体" w:eastAsia="宋体" w:cs="宋体"/>
                <w:kern w:val="0"/>
                <w:szCs w:val="21"/>
                <w14:ligatures w14:val="none"/>
              </w:rPr>
              <w:t>审计范围、内容、步骤及程序明确、合理、可行性强，得</w:t>
            </w:r>
            <w:r>
              <w:rPr>
                <w:rFonts w:hint="eastAsia" w:ascii="宋体" w:hAnsi="宋体" w:eastAsia="宋体" w:cs="宋体"/>
                <w:szCs w:val="21"/>
                <w14:ligatures w14:val="none"/>
              </w:rPr>
              <w:t>8.0（不含）-10.0（含）分</w:t>
            </w:r>
            <w:r>
              <w:rPr>
                <w:rFonts w:hint="eastAsia" w:ascii="宋体" w:hAnsi="宋体" w:eastAsia="宋体" w:cs="宋体"/>
                <w:kern w:val="0"/>
                <w:szCs w:val="21"/>
                <w14:ligatures w14:val="none"/>
              </w:rPr>
              <w:t>；较明确、合理，得</w:t>
            </w:r>
            <w:r>
              <w:rPr>
                <w:rFonts w:hint="eastAsia" w:ascii="宋体" w:hAnsi="宋体" w:eastAsia="宋体" w:cs="宋体"/>
                <w:szCs w:val="21"/>
                <w14:ligatures w14:val="none"/>
              </w:rPr>
              <w:t>6.0（不含）-8.0（含）分</w:t>
            </w:r>
            <w:r>
              <w:rPr>
                <w:rFonts w:hint="eastAsia" w:ascii="宋体" w:hAnsi="宋体" w:eastAsia="宋体" w:cs="宋体"/>
                <w:kern w:val="0"/>
                <w:szCs w:val="21"/>
                <w14:ligatures w14:val="none"/>
              </w:rPr>
              <w:t>；</w:t>
            </w:r>
            <w:r>
              <w:rPr>
                <w:rFonts w:hint="eastAsia" w:ascii="宋体" w:hAnsi="宋体" w:eastAsia="宋体" w:cs="宋体"/>
                <w:szCs w:val="21"/>
                <w14:ligatures w14:val="none"/>
              </w:rPr>
              <w:t>一般，得6.0分。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31" w:type="pct"/>
            <w:vMerge w:val="continue"/>
            <w:vAlign w:val="center"/>
          </w:tcPr>
          <w:p>
            <w:pPr>
              <w:autoSpaceDE w:val="0"/>
              <w:autoSpaceDN w:val="0"/>
              <w:snapToGrid w:val="0"/>
              <w:ind w:right="-107" w:firstLine="420"/>
              <w:jc w:val="center"/>
              <w:rPr>
                <w:rFonts w:hint="eastAsia" w:ascii="宋体" w:hAnsi="宋体" w:eastAsia="宋体" w:cs="宋体"/>
                <w:kern w:val="0"/>
                <w:szCs w:val="21"/>
                <w14:ligatures w14:val="none"/>
              </w:rPr>
            </w:pPr>
          </w:p>
        </w:tc>
        <w:tc>
          <w:tcPr>
            <w:tcW w:w="280" w:type="pct"/>
            <w:vMerge w:val="continue"/>
            <w:vAlign w:val="center"/>
          </w:tcPr>
          <w:p>
            <w:pPr>
              <w:jc w:val="center"/>
              <w:rPr>
                <w:rFonts w:hint="eastAsia" w:ascii="宋体" w:hAnsi="宋体" w:eastAsia="宋体" w:cs="宋体"/>
                <w:kern w:val="0"/>
                <w:szCs w:val="21"/>
                <w14:ligatures w14:val="none"/>
              </w:rPr>
            </w:pPr>
          </w:p>
        </w:tc>
        <w:tc>
          <w:tcPr>
            <w:tcW w:w="404" w:type="pct"/>
            <w:vMerge w:val="continue"/>
            <w:vAlign w:val="center"/>
          </w:tcPr>
          <w:p>
            <w:pPr>
              <w:jc w:val="center"/>
              <w:rPr>
                <w:rFonts w:hint="eastAsia" w:ascii="宋体" w:hAnsi="宋体" w:eastAsia="宋体" w:cs="宋体"/>
                <w:kern w:val="0"/>
                <w:szCs w:val="21"/>
                <w14:ligatures w14:val="none"/>
              </w:rPr>
            </w:pPr>
          </w:p>
        </w:tc>
        <w:tc>
          <w:tcPr>
            <w:tcW w:w="856" w:type="pct"/>
            <w:tcBorders>
              <w:right w:val="single" w:color="auto" w:sz="4" w:space="0"/>
            </w:tcBorders>
            <w:vAlign w:val="center"/>
          </w:tcPr>
          <w:p>
            <w:pPr>
              <w:jc w:val="center"/>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工作进度安排</w:t>
            </w:r>
          </w:p>
        </w:tc>
        <w:tc>
          <w:tcPr>
            <w:tcW w:w="385" w:type="pct"/>
            <w:tcBorders>
              <w:left w:val="single" w:color="auto" w:sz="4" w:space="0"/>
              <w:right w:val="single" w:color="auto" w:sz="4" w:space="0"/>
            </w:tcBorders>
            <w:vAlign w:val="center"/>
          </w:tcPr>
          <w:p>
            <w:pPr>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5</w:t>
            </w:r>
            <w:r>
              <w:rPr>
                <w:rFonts w:ascii="Times New Roman" w:hAnsi="Times New Roman" w:eastAsia="宋体" w:cs="Times New Roman"/>
                <w:szCs w:val="21"/>
                <w14:ligatures w14:val="none"/>
              </w:rPr>
              <w:t>分</w:t>
            </w:r>
          </w:p>
        </w:tc>
        <w:tc>
          <w:tcPr>
            <w:tcW w:w="2542" w:type="pct"/>
            <w:tcBorders>
              <w:top w:val="single" w:color="auto" w:sz="4" w:space="0"/>
              <w:left w:val="single" w:color="auto" w:sz="4" w:space="0"/>
            </w:tcBorders>
            <w:vAlign w:val="center"/>
          </w:tcPr>
          <w:p>
            <w:pPr>
              <w:adjustRightInd w:val="0"/>
              <w:snapToGrid w:val="0"/>
              <w:spacing w:line="320" w:lineRule="exact"/>
              <w:jc w:val="left"/>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审计工作进度安排合理、全面性强，得</w:t>
            </w:r>
            <w:r>
              <w:rPr>
                <w:rFonts w:hint="eastAsia" w:ascii="Times New Roman" w:hAnsi="Times New Roman" w:eastAsia="宋体" w:cs="Times New Roman"/>
                <w:szCs w:val="21"/>
                <w14:ligatures w14:val="none"/>
              </w:rPr>
              <w:t>4</w:t>
            </w: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0</w:t>
            </w:r>
            <w:r>
              <w:rPr>
                <w:rFonts w:ascii="Times New Roman" w:hAnsi="Times New Roman" w:eastAsia="宋体" w:cs="Times New Roman"/>
                <w:szCs w:val="21"/>
                <w14:ligatures w14:val="none"/>
              </w:rPr>
              <w:t>（不含）-</w:t>
            </w:r>
            <w:r>
              <w:rPr>
                <w:rFonts w:hint="eastAsia" w:ascii="Times New Roman" w:hAnsi="Times New Roman" w:eastAsia="宋体" w:cs="Times New Roman"/>
                <w:szCs w:val="21"/>
                <w14:ligatures w14:val="none"/>
              </w:rPr>
              <w:t>5.0（含）</w:t>
            </w:r>
            <w:r>
              <w:rPr>
                <w:rFonts w:ascii="Times New Roman" w:hAnsi="Times New Roman" w:eastAsia="宋体" w:cs="Times New Roman"/>
                <w:kern w:val="0"/>
                <w:szCs w:val="21"/>
                <w14:ligatures w14:val="none"/>
              </w:rPr>
              <w:t>分；合理性、全面性</w:t>
            </w:r>
            <w:r>
              <w:rPr>
                <w:rFonts w:hint="eastAsia" w:ascii="Times New Roman" w:hAnsi="Times New Roman" w:eastAsia="宋体" w:cs="Times New Roman"/>
                <w:kern w:val="0"/>
                <w:szCs w:val="21"/>
                <w14:ligatures w14:val="none"/>
              </w:rPr>
              <w:t>较</w:t>
            </w:r>
            <w:r>
              <w:rPr>
                <w:rFonts w:ascii="Times New Roman" w:hAnsi="Times New Roman" w:eastAsia="宋体" w:cs="Times New Roman"/>
                <w:kern w:val="0"/>
                <w:szCs w:val="21"/>
                <w14:ligatures w14:val="none"/>
              </w:rPr>
              <w:t>强，得</w:t>
            </w:r>
            <w:r>
              <w:rPr>
                <w:rFonts w:hint="eastAsia" w:ascii="Times New Roman" w:hAnsi="Times New Roman" w:eastAsia="宋体" w:cs="Times New Roman"/>
                <w:szCs w:val="21"/>
                <w14:ligatures w14:val="none"/>
              </w:rPr>
              <w:t>3.0</w:t>
            </w:r>
            <w:r>
              <w:rPr>
                <w:rFonts w:ascii="Times New Roman" w:hAnsi="Times New Roman" w:eastAsia="宋体" w:cs="Times New Roman"/>
                <w:szCs w:val="21"/>
                <w14:ligatures w14:val="none"/>
              </w:rPr>
              <w:t>（不含）-</w:t>
            </w:r>
            <w:r>
              <w:rPr>
                <w:rFonts w:hint="eastAsia" w:ascii="Times New Roman" w:hAnsi="Times New Roman" w:eastAsia="宋体" w:cs="Times New Roman"/>
                <w:szCs w:val="21"/>
                <w14:ligatures w14:val="none"/>
              </w:rPr>
              <w:t>4</w:t>
            </w:r>
            <w:r>
              <w:rPr>
                <w:rFonts w:ascii="Times New Roman" w:hAnsi="Times New Roman" w:eastAsia="宋体" w:cs="Times New Roman"/>
                <w:szCs w:val="21"/>
                <w14:ligatures w14:val="none"/>
              </w:rPr>
              <w:t>.0</w:t>
            </w:r>
            <w:r>
              <w:rPr>
                <w:rFonts w:hint="eastAsia" w:ascii="Times New Roman" w:hAnsi="Times New Roman" w:eastAsia="宋体" w:cs="Times New Roman"/>
                <w:szCs w:val="21"/>
                <w14:ligatures w14:val="none"/>
              </w:rPr>
              <w:t>（含）</w:t>
            </w:r>
            <w:r>
              <w:rPr>
                <w:rFonts w:ascii="Times New Roman" w:hAnsi="Times New Roman" w:eastAsia="宋体" w:cs="Times New Roman"/>
                <w:kern w:val="0"/>
                <w:szCs w:val="21"/>
                <w14:ligatures w14:val="none"/>
              </w:rPr>
              <w:t>分；</w:t>
            </w:r>
            <w:r>
              <w:rPr>
                <w:rFonts w:ascii="Times New Roman" w:hAnsi="Times New Roman" w:eastAsia="宋体" w:cs="Times New Roman"/>
                <w:szCs w:val="21"/>
                <w14:ligatures w14:val="none"/>
              </w:rPr>
              <w:t>一般，得</w:t>
            </w:r>
            <w:r>
              <w:rPr>
                <w:rFonts w:hint="eastAsia" w:ascii="Times New Roman" w:hAnsi="Times New Roman" w:eastAsia="宋体" w:cs="Times New Roman"/>
                <w:szCs w:val="21"/>
                <w14:ligatures w14:val="none"/>
              </w:rPr>
              <w:t>3.0</w:t>
            </w:r>
            <w:r>
              <w:rPr>
                <w:rFonts w:ascii="Times New Roman" w:hAnsi="Times New Roman" w:eastAsia="宋体" w:cs="Times New Roman"/>
                <w:szCs w:val="21"/>
                <w14:ligatures w14: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31" w:type="pct"/>
            <w:vMerge w:val="continue"/>
            <w:vAlign w:val="center"/>
          </w:tcPr>
          <w:p>
            <w:pPr>
              <w:autoSpaceDE w:val="0"/>
              <w:autoSpaceDN w:val="0"/>
              <w:snapToGrid w:val="0"/>
              <w:ind w:right="-107" w:firstLine="420"/>
              <w:jc w:val="center"/>
              <w:rPr>
                <w:rFonts w:hint="eastAsia" w:ascii="宋体" w:hAnsi="宋体" w:eastAsia="宋体" w:cs="宋体"/>
                <w:kern w:val="0"/>
                <w:szCs w:val="21"/>
                <w14:ligatures w14:val="none"/>
              </w:rPr>
            </w:pPr>
          </w:p>
        </w:tc>
        <w:tc>
          <w:tcPr>
            <w:tcW w:w="280" w:type="pct"/>
            <w:vMerge w:val="continue"/>
            <w:vAlign w:val="center"/>
          </w:tcPr>
          <w:p>
            <w:pPr>
              <w:autoSpaceDE w:val="0"/>
              <w:autoSpaceDN w:val="0"/>
              <w:snapToGrid w:val="0"/>
              <w:ind w:right="-107" w:firstLine="420"/>
              <w:jc w:val="center"/>
              <w:rPr>
                <w:rFonts w:hint="eastAsia" w:ascii="宋体" w:hAnsi="宋体" w:eastAsia="宋体" w:cs="宋体"/>
                <w:kern w:val="0"/>
                <w:szCs w:val="21"/>
                <w14:ligatures w14:val="none"/>
              </w:rPr>
            </w:pPr>
          </w:p>
        </w:tc>
        <w:tc>
          <w:tcPr>
            <w:tcW w:w="404" w:type="pct"/>
            <w:vMerge w:val="continue"/>
            <w:vAlign w:val="center"/>
          </w:tcPr>
          <w:p>
            <w:pPr>
              <w:autoSpaceDE w:val="0"/>
              <w:autoSpaceDN w:val="0"/>
              <w:snapToGrid w:val="0"/>
              <w:ind w:right="-107" w:firstLine="420"/>
              <w:jc w:val="center"/>
              <w:rPr>
                <w:rFonts w:hint="eastAsia" w:ascii="宋体" w:hAnsi="宋体" w:eastAsia="宋体" w:cs="宋体"/>
                <w:kern w:val="0"/>
                <w:szCs w:val="21"/>
                <w14:ligatures w14:val="none"/>
              </w:rPr>
            </w:pPr>
          </w:p>
        </w:tc>
        <w:tc>
          <w:tcPr>
            <w:tcW w:w="856" w:type="pct"/>
            <w:tcBorders>
              <w:right w:val="single" w:color="auto" w:sz="4" w:space="0"/>
            </w:tcBorders>
            <w:vAlign w:val="center"/>
          </w:tcPr>
          <w:p>
            <w:pPr>
              <w:jc w:val="center"/>
              <w:rPr>
                <w:rFonts w:hint="eastAsia" w:ascii="宋体" w:hAnsi="宋体" w:eastAsia="宋体" w:cs="Times New Roman"/>
                <w:szCs w:val="21"/>
                <w14:ligatures w14:val="none"/>
              </w:rPr>
            </w:pPr>
            <w:r>
              <w:rPr>
                <w:rFonts w:ascii="Times New Roman" w:hAnsi="Times New Roman" w:eastAsia="宋体" w:cs="Times New Roman"/>
                <w:szCs w:val="21"/>
                <w14:ligatures w14:val="none"/>
              </w:rPr>
              <w:t>工作质量控制</w:t>
            </w:r>
          </w:p>
        </w:tc>
        <w:tc>
          <w:tcPr>
            <w:tcW w:w="385" w:type="pct"/>
            <w:tcBorders>
              <w:left w:val="single" w:color="auto" w:sz="4" w:space="0"/>
              <w:right w:val="single" w:color="auto" w:sz="4" w:space="0"/>
            </w:tcBorders>
            <w:vAlign w:val="center"/>
          </w:tcPr>
          <w:p>
            <w:pPr>
              <w:jc w:val="center"/>
              <w:rPr>
                <w:rFonts w:hint="eastAsia" w:ascii="宋体" w:hAnsi="宋体" w:eastAsia="宋体" w:cs="Times New Roman"/>
                <w:szCs w:val="21"/>
                <w14:ligatures w14:val="none"/>
              </w:rPr>
            </w:pPr>
            <w:r>
              <w:rPr>
                <w:rFonts w:hint="eastAsia" w:ascii="Times New Roman" w:hAnsi="Times New Roman" w:eastAsia="宋体" w:cs="Times New Roman"/>
                <w:szCs w:val="21"/>
                <w14:ligatures w14:val="none"/>
              </w:rPr>
              <w:t>5</w:t>
            </w:r>
            <w:r>
              <w:rPr>
                <w:rFonts w:ascii="Times New Roman" w:hAnsi="Times New Roman" w:eastAsia="宋体" w:cs="Times New Roman"/>
                <w:szCs w:val="21"/>
                <w14:ligatures w14:val="none"/>
              </w:rPr>
              <w:t>分</w:t>
            </w:r>
          </w:p>
        </w:tc>
        <w:tc>
          <w:tcPr>
            <w:tcW w:w="2542" w:type="pct"/>
            <w:tcBorders>
              <w:left w:val="single" w:color="auto" w:sz="4" w:space="0"/>
            </w:tcBorders>
            <w:vAlign w:val="center"/>
          </w:tcPr>
          <w:p>
            <w:pPr>
              <w:adjustRightInd w:val="0"/>
              <w:snapToGrid w:val="0"/>
              <w:spacing w:line="320" w:lineRule="exact"/>
              <w:jc w:val="left"/>
              <w:rPr>
                <w:rFonts w:hint="eastAsia" w:ascii="宋体" w:hAnsi="宋体" w:eastAsia="宋体" w:cs="Times New Roman"/>
                <w:kern w:val="0"/>
                <w:szCs w:val="21"/>
                <w14:ligatures w14:val="none"/>
              </w:rPr>
            </w:pPr>
            <w:r>
              <w:rPr>
                <w:rFonts w:ascii="Times New Roman" w:hAnsi="Times New Roman" w:eastAsia="宋体" w:cs="Times New Roman"/>
                <w:kern w:val="0"/>
                <w:szCs w:val="21"/>
                <w14:ligatures w14:val="none"/>
              </w:rPr>
              <w:t>审计工作质量控制和方法可行有效，程序合理明确，得</w:t>
            </w:r>
            <w:r>
              <w:rPr>
                <w:rFonts w:hint="eastAsia" w:ascii="Times New Roman" w:hAnsi="Times New Roman" w:eastAsia="宋体" w:cs="Times New Roman"/>
                <w:szCs w:val="21"/>
                <w14:ligatures w14:val="none"/>
              </w:rPr>
              <w:t>4.0</w:t>
            </w:r>
            <w:r>
              <w:rPr>
                <w:rFonts w:ascii="Times New Roman" w:hAnsi="Times New Roman" w:eastAsia="宋体" w:cs="Times New Roman"/>
                <w:szCs w:val="21"/>
                <w14:ligatures w14:val="none"/>
              </w:rPr>
              <w:t>（不含）-</w:t>
            </w:r>
            <w:r>
              <w:rPr>
                <w:rFonts w:hint="eastAsia" w:ascii="Times New Roman" w:hAnsi="Times New Roman" w:eastAsia="宋体" w:cs="Times New Roman"/>
                <w:szCs w:val="21"/>
                <w14:ligatures w14:val="none"/>
              </w:rPr>
              <w:t>5.0（含）</w:t>
            </w:r>
            <w:r>
              <w:rPr>
                <w:rFonts w:ascii="Times New Roman" w:hAnsi="Times New Roman" w:eastAsia="宋体" w:cs="Times New Roman"/>
                <w:kern w:val="0"/>
                <w:szCs w:val="21"/>
                <w14:ligatures w14:val="none"/>
              </w:rPr>
              <w:t>分；较可行有效、程序较合理明确，得</w:t>
            </w:r>
            <w:r>
              <w:rPr>
                <w:rFonts w:hint="eastAsia" w:ascii="Times New Roman" w:hAnsi="Times New Roman" w:eastAsia="宋体" w:cs="Times New Roman"/>
                <w:szCs w:val="21"/>
                <w14:ligatures w14:val="none"/>
              </w:rPr>
              <w:t>3.0</w:t>
            </w:r>
            <w:r>
              <w:rPr>
                <w:rFonts w:ascii="Times New Roman" w:hAnsi="Times New Roman" w:eastAsia="宋体" w:cs="Times New Roman"/>
                <w:szCs w:val="21"/>
                <w14:ligatures w14:val="none"/>
              </w:rPr>
              <w:t>（不含）-</w:t>
            </w:r>
            <w:r>
              <w:rPr>
                <w:rFonts w:hint="eastAsia" w:ascii="Times New Roman" w:hAnsi="Times New Roman" w:eastAsia="宋体" w:cs="Times New Roman"/>
                <w:szCs w:val="21"/>
                <w14:ligatures w14:val="none"/>
              </w:rPr>
              <w:t>4</w:t>
            </w:r>
            <w:r>
              <w:rPr>
                <w:rFonts w:ascii="Times New Roman" w:hAnsi="Times New Roman" w:eastAsia="宋体" w:cs="Times New Roman"/>
                <w:szCs w:val="21"/>
                <w14:ligatures w14:val="none"/>
              </w:rPr>
              <w:t>.0</w:t>
            </w:r>
            <w:r>
              <w:rPr>
                <w:rFonts w:hint="eastAsia" w:ascii="Times New Roman" w:hAnsi="Times New Roman" w:eastAsia="宋体" w:cs="Times New Roman"/>
                <w:szCs w:val="21"/>
                <w14:ligatures w14:val="none"/>
              </w:rPr>
              <w:t>（含）</w:t>
            </w:r>
            <w:r>
              <w:rPr>
                <w:rFonts w:ascii="Times New Roman" w:hAnsi="Times New Roman" w:eastAsia="宋体" w:cs="Times New Roman"/>
                <w:kern w:val="0"/>
                <w:szCs w:val="21"/>
                <w14:ligatures w14:val="none"/>
              </w:rPr>
              <w:t>分；</w:t>
            </w:r>
            <w:r>
              <w:rPr>
                <w:rFonts w:ascii="Times New Roman" w:hAnsi="Times New Roman" w:eastAsia="宋体" w:cs="Times New Roman"/>
                <w:szCs w:val="21"/>
                <w14:ligatures w14:val="none"/>
              </w:rPr>
              <w:t>一般，得</w:t>
            </w:r>
            <w:r>
              <w:rPr>
                <w:rFonts w:hint="eastAsia" w:ascii="Times New Roman" w:hAnsi="Times New Roman" w:eastAsia="宋体" w:cs="Times New Roman"/>
                <w:szCs w:val="21"/>
                <w14:ligatures w14:val="none"/>
              </w:rPr>
              <w:t>3.0</w:t>
            </w:r>
            <w:r>
              <w:rPr>
                <w:rFonts w:ascii="Times New Roman" w:hAnsi="Times New Roman" w:eastAsia="宋体" w:cs="Times New Roman"/>
                <w:szCs w:val="21"/>
                <w14:ligatures w14: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31" w:type="pct"/>
            <w:vMerge w:val="continue"/>
            <w:vAlign w:val="center"/>
          </w:tcPr>
          <w:p>
            <w:pPr>
              <w:autoSpaceDE w:val="0"/>
              <w:autoSpaceDN w:val="0"/>
              <w:snapToGrid w:val="0"/>
              <w:ind w:right="-107" w:firstLine="420"/>
              <w:jc w:val="center"/>
              <w:rPr>
                <w:rFonts w:hint="eastAsia" w:ascii="宋体" w:hAnsi="宋体" w:eastAsia="宋体" w:cs="宋体"/>
                <w:kern w:val="0"/>
                <w:szCs w:val="21"/>
                <w14:ligatures w14:val="none"/>
              </w:rPr>
            </w:pPr>
          </w:p>
        </w:tc>
        <w:tc>
          <w:tcPr>
            <w:tcW w:w="280" w:type="pct"/>
            <w:vMerge w:val="continue"/>
            <w:vAlign w:val="center"/>
          </w:tcPr>
          <w:p>
            <w:pPr>
              <w:autoSpaceDE w:val="0"/>
              <w:autoSpaceDN w:val="0"/>
              <w:snapToGrid w:val="0"/>
              <w:ind w:right="-107" w:firstLine="420"/>
              <w:jc w:val="center"/>
              <w:rPr>
                <w:rFonts w:hint="eastAsia" w:ascii="宋体" w:hAnsi="宋体" w:eastAsia="宋体" w:cs="宋体"/>
                <w:kern w:val="0"/>
                <w:szCs w:val="21"/>
                <w14:ligatures w14:val="none"/>
              </w:rPr>
            </w:pPr>
          </w:p>
        </w:tc>
        <w:tc>
          <w:tcPr>
            <w:tcW w:w="404" w:type="pct"/>
            <w:vMerge w:val="continue"/>
            <w:vAlign w:val="center"/>
          </w:tcPr>
          <w:p>
            <w:pPr>
              <w:autoSpaceDE w:val="0"/>
              <w:autoSpaceDN w:val="0"/>
              <w:snapToGrid w:val="0"/>
              <w:ind w:right="-107" w:firstLine="420"/>
              <w:jc w:val="center"/>
              <w:rPr>
                <w:rFonts w:hint="eastAsia" w:ascii="宋体" w:hAnsi="宋体" w:eastAsia="宋体" w:cs="宋体"/>
                <w:kern w:val="0"/>
                <w:szCs w:val="21"/>
                <w14:ligatures w14:val="none"/>
              </w:rPr>
            </w:pPr>
          </w:p>
        </w:tc>
        <w:tc>
          <w:tcPr>
            <w:tcW w:w="856" w:type="pct"/>
            <w:tcBorders>
              <w:right w:val="single" w:color="auto" w:sz="4" w:space="0"/>
            </w:tcBorders>
            <w:vAlign w:val="center"/>
          </w:tcPr>
          <w:p>
            <w:pPr>
              <w:jc w:val="center"/>
              <w:rPr>
                <w:rFonts w:hint="eastAsia" w:ascii="宋体" w:hAnsi="宋体" w:eastAsia="宋体" w:cs="Times New Roman"/>
                <w:szCs w:val="21"/>
                <w14:ligatures w14:val="none"/>
              </w:rPr>
            </w:pPr>
            <w:r>
              <w:rPr>
                <w:rFonts w:ascii="Times New Roman" w:hAnsi="Times New Roman" w:eastAsia="宋体" w:cs="Times New Roman"/>
                <w:szCs w:val="21"/>
                <w14:ligatures w14:val="none"/>
              </w:rPr>
              <w:t>履职承诺</w:t>
            </w:r>
          </w:p>
        </w:tc>
        <w:tc>
          <w:tcPr>
            <w:tcW w:w="385" w:type="pct"/>
            <w:tcBorders>
              <w:left w:val="single" w:color="auto" w:sz="4" w:space="0"/>
              <w:right w:val="single" w:color="auto" w:sz="4" w:space="0"/>
            </w:tcBorders>
            <w:vAlign w:val="center"/>
          </w:tcPr>
          <w:p>
            <w:pPr>
              <w:jc w:val="center"/>
              <w:rPr>
                <w:rFonts w:hint="eastAsia" w:ascii="宋体" w:hAnsi="宋体" w:eastAsia="宋体" w:cs="Times New Roman"/>
                <w:szCs w:val="21"/>
                <w14:ligatures w14:val="none"/>
              </w:rPr>
            </w:pPr>
            <w:r>
              <w:rPr>
                <w:rFonts w:hint="eastAsia" w:ascii="Times New Roman" w:hAnsi="Times New Roman" w:eastAsia="宋体" w:cs="Times New Roman"/>
                <w:szCs w:val="21"/>
                <w14:ligatures w14:val="none"/>
              </w:rPr>
              <w:t>5</w:t>
            </w:r>
            <w:r>
              <w:rPr>
                <w:rFonts w:ascii="Times New Roman" w:hAnsi="Times New Roman" w:eastAsia="宋体" w:cs="Times New Roman"/>
                <w:szCs w:val="21"/>
                <w14:ligatures w14:val="none"/>
              </w:rPr>
              <w:t>分</w:t>
            </w:r>
          </w:p>
        </w:tc>
        <w:tc>
          <w:tcPr>
            <w:tcW w:w="2542" w:type="pct"/>
            <w:tcBorders>
              <w:left w:val="single" w:color="auto" w:sz="4" w:space="0"/>
            </w:tcBorders>
            <w:vAlign w:val="center"/>
          </w:tcPr>
          <w:p>
            <w:pPr>
              <w:adjustRightInd w:val="0"/>
              <w:snapToGrid w:val="0"/>
              <w:spacing w:line="320" w:lineRule="exact"/>
              <w:jc w:val="left"/>
              <w:rPr>
                <w:rFonts w:hint="eastAsia" w:ascii="宋体" w:hAnsi="宋体" w:eastAsia="宋体" w:cs="Times New Roman"/>
                <w:kern w:val="0"/>
                <w:szCs w:val="21"/>
                <w14:ligatures w14:val="none"/>
              </w:rPr>
            </w:pPr>
            <w:r>
              <w:rPr>
                <w:rFonts w:ascii="Times New Roman" w:hAnsi="Times New Roman" w:eastAsia="宋体" w:cs="Times New Roman"/>
                <w:szCs w:val="21"/>
                <w14:ligatures w14:val="none"/>
              </w:rPr>
              <w:t>承诺遵照国家有关的法律法规，认真履行工作职责，并对审计意见和咨询意见承担法律和经济责任；详细、全面、条理清晰，得</w:t>
            </w:r>
            <w:r>
              <w:rPr>
                <w:rFonts w:hint="eastAsia" w:ascii="Times New Roman" w:hAnsi="Times New Roman" w:eastAsia="宋体" w:cs="Times New Roman"/>
                <w:szCs w:val="21"/>
                <w14:ligatures w14:val="none"/>
              </w:rPr>
              <w:t>4</w:t>
            </w: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0</w:t>
            </w:r>
            <w:r>
              <w:rPr>
                <w:rFonts w:ascii="Times New Roman" w:hAnsi="Times New Roman" w:eastAsia="宋体" w:cs="Times New Roman"/>
                <w:szCs w:val="21"/>
                <w14:ligatures w14:val="none"/>
              </w:rPr>
              <w:t>（不含）-</w:t>
            </w:r>
            <w:r>
              <w:rPr>
                <w:rFonts w:hint="eastAsia" w:ascii="Times New Roman" w:hAnsi="Times New Roman" w:eastAsia="宋体" w:cs="Times New Roman"/>
                <w:szCs w:val="21"/>
                <w14:ligatures w14:val="none"/>
              </w:rPr>
              <w:t>5.0（含）</w:t>
            </w:r>
            <w:r>
              <w:rPr>
                <w:rFonts w:ascii="Times New Roman" w:hAnsi="Times New Roman" w:eastAsia="宋体" w:cs="Times New Roman"/>
                <w:szCs w:val="21"/>
                <w14:ligatures w14:val="none"/>
              </w:rPr>
              <w:t>；较详细、全面、条理较清晰，得</w:t>
            </w:r>
            <w:r>
              <w:rPr>
                <w:rFonts w:hint="eastAsia" w:ascii="Times New Roman" w:hAnsi="Times New Roman" w:eastAsia="宋体" w:cs="Times New Roman"/>
                <w:szCs w:val="21"/>
                <w14:ligatures w14:val="none"/>
              </w:rPr>
              <w:t>3.0</w:t>
            </w:r>
            <w:r>
              <w:rPr>
                <w:rFonts w:ascii="Times New Roman" w:hAnsi="Times New Roman" w:eastAsia="宋体" w:cs="Times New Roman"/>
                <w:szCs w:val="21"/>
                <w14:ligatures w14:val="none"/>
              </w:rPr>
              <w:t>（不含）-</w:t>
            </w:r>
            <w:r>
              <w:rPr>
                <w:rFonts w:hint="eastAsia" w:ascii="Times New Roman" w:hAnsi="Times New Roman" w:eastAsia="宋体" w:cs="Times New Roman"/>
                <w:szCs w:val="21"/>
                <w14:ligatures w14:val="none"/>
              </w:rPr>
              <w:t>4</w:t>
            </w:r>
            <w:r>
              <w:rPr>
                <w:rFonts w:ascii="Times New Roman" w:hAnsi="Times New Roman" w:eastAsia="宋体" w:cs="Times New Roman"/>
                <w:szCs w:val="21"/>
                <w14:ligatures w14:val="none"/>
              </w:rPr>
              <w:t>.0</w:t>
            </w:r>
            <w:r>
              <w:rPr>
                <w:rFonts w:hint="eastAsia" w:ascii="Times New Roman" w:hAnsi="Times New Roman" w:eastAsia="宋体" w:cs="Times New Roman"/>
                <w:szCs w:val="21"/>
                <w14:ligatures w14:val="none"/>
              </w:rPr>
              <w:t>（含）</w:t>
            </w:r>
            <w:r>
              <w:rPr>
                <w:rFonts w:ascii="Times New Roman" w:hAnsi="Times New Roman" w:eastAsia="宋体" w:cs="Times New Roman"/>
                <w:szCs w:val="21"/>
                <w14:ligatures w14:val="none"/>
              </w:rPr>
              <w:t>分</w:t>
            </w:r>
            <w:r>
              <w:rPr>
                <w:rFonts w:hint="eastAsia" w:ascii="Times New Roman" w:hAnsi="Times New Roman" w:eastAsia="宋体" w:cs="Times New Roman"/>
                <w:szCs w:val="21"/>
                <w14:ligatures w14:val="none"/>
              </w:rPr>
              <w:t>，</w:t>
            </w:r>
            <w:r>
              <w:rPr>
                <w:rFonts w:ascii="Times New Roman" w:hAnsi="Times New Roman" w:eastAsia="宋体" w:cs="Times New Roman"/>
                <w:szCs w:val="21"/>
                <w14:ligatures w14:val="none"/>
              </w:rPr>
              <w:t>一般</w:t>
            </w:r>
            <w:r>
              <w:rPr>
                <w:rFonts w:hint="eastAsia" w:ascii="Times New Roman" w:hAnsi="Times New Roman" w:eastAsia="宋体" w:cs="Times New Roman"/>
                <w:szCs w:val="21"/>
                <w14:ligatures w14:val="none"/>
              </w:rPr>
              <w:t>，</w:t>
            </w:r>
            <w:r>
              <w:rPr>
                <w:rFonts w:ascii="Times New Roman" w:hAnsi="Times New Roman" w:eastAsia="宋体" w:cs="Times New Roman"/>
                <w:szCs w:val="21"/>
                <w14:ligatures w14:val="none"/>
              </w:rPr>
              <w:t>得</w:t>
            </w:r>
            <w:r>
              <w:rPr>
                <w:rFonts w:hint="eastAsia" w:ascii="Times New Roman" w:hAnsi="Times New Roman" w:eastAsia="宋体" w:cs="Times New Roman"/>
                <w:szCs w:val="21"/>
                <w14:ligatures w14:val="none"/>
              </w:rPr>
              <w:t>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trPr>
        <w:tc>
          <w:tcPr>
            <w:tcW w:w="531" w:type="pct"/>
            <w:vAlign w:val="center"/>
          </w:tcPr>
          <w:p>
            <w:pPr>
              <w:jc w:val="center"/>
              <w:rPr>
                <w:rFonts w:hint="eastAsia" w:ascii="宋体" w:hAnsi="宋体" w:eastAsia="宋体" w:cs="宋体"/>
                <w:kern w:val="0"/>
                <w:szCs w:val="21"/>
                <w14:ligatures w14:val="none"/>
              </w:rPr>
            </w:pPr>
            <w:r>
              <w:rPr>
                <w:rFonts w:hint="eastAsia" w:ascii="宋体" w:hAnsi="宋体" w:eastAsia="宋体" w:cs="Times New Roman"/>
                <w:kern w:val="0"/>
                <w:szCs w:val="21"/>
                <w14:ligatures w14:val="none"/>
              </w:rPr>
              <w:t>2.2.4(</w:t>
            </w:r>
            <w:r>
              <w:rPr>
                <w:rFonts w:ascii="宋体" w:hAnsi="宋体" w:eastAsia="宋体" w:cs="Times New Roman"/>
                <w:kern w:val="0"/>
                <w:szCs w:val="21"/>
                <w14:ligatures w14:val="none"/>
              </w:rPr>
              <w:t>2</w:t>
            </w:r>
            <w:r>
              <w:rPr>
                <w:rFonts w:hint="eastAsia" w:ascii="宋体" w:hAnsi="宋体" w:eastAsia="宋体" w:cs="Times New Roman"/>
                <w:kern w:val="0"/>
                <w:szCs w:val="21"/>
                <w14:ligatures w14:val="none"/>
              </w:rPr>
              <w:t>)</w:t>
            </w:r>
          </w:p>
        </w:tc>
        <w:tc>
          <w:tcPr>
            <w:tcW w:w="280" w:type="pct"/>
            <w:vAlign w:val="center"/>
          </w:tcPr>
          <w:p>
            <w:pPr>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主要人员</w:t>
            </w:r>
          </w:p>
        </w:tc>
        <w:tc>
          <w:tcPr>
            <w:tcW w:w="404" w:type="pct"/>
            <w:vAlign w:val="center"/>
          </w:tcPr>
          <w:p>
            <w:pPr>
              <w:adjustRightInd w:val="0"/>
              <w:snapToGrid w:val="0"/>
              <w:spacing w:line="320" w:lineRule="exact"/>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15分</w:t>
            </w:r>
          </w:p>
        </w:tc>
        <w:tc>
          <w:tcPr>
            <w:tcW w:w="3784" w:type="pct"/>
            <w:gridSpan w:val="3"/>
            <w:vAlign w:val="center"/>
          </w:tcPr>
          <w:p>
            <w:pPr>
              <w:snapToGrid w:val="0"/>
              <w:spacing w:line="360" w:lineRule="exact"/>
              <w:rPr>
                <w:rFonts w:hint="eastAsia" w:ascii="宋体" w:hAnsi="宋体" w:eastAsia="宋体" w:cs="宋体"/>
                <w:szCs w:val="21"/>
                <w14:ligatures w14:val="none"/>
              </w:rPr>
            </w:pPr>
            <w:r>
              <w:rPr>
                <w:rFonts w:hint="eastAsia" w:ascii="宋体" w:hAnsi="宋体" w:eastAsia="宋体" w:cs="宋体"/>
                <w:szCs w:val="21"/>
                <w14:ligatures w14:val="none"/>
              </w:rPr>
              <w:t>项目负责人满足“附录4资格审查条件（项目负责人最低要求）”得3分。每增加1项满足“附录4资格审查条件（项目负责人最低要求）”的业绩加1分，最多加2分。</w:t>
            </w:r>
          </w:p>
          <w:p>
            <w:pPr>
              <w:adjustRightInd w:val="0"/>
              <w:snapToGrid w:val="0"/>
              <w:spacing w:line="320" w:lineRule="exact"/>
              <w:rPr>
                <w:rFonts w:hint="eastAsia" w:ascii="Calibri" w:hAnsi="宋体" w:eastAsia="宋体" w:cs="宋体"/>
                <w:szCs w:val="21"/>
                <w14:ligatures w14:val="none"/>
              </w:rPr>
            </w:pPr>
            <w:r>
              <w:rPr>
                <w:rFonts w:hint="eastAsia" w:ascii="Calibri" w:hAnsi="宋体" w:eastAsia="宋体" w:cs="宋体"/>
                <w:szCs w:val="21"/>
                <w14:ligatures w14:val="none"/>
              </w:rPr>
              <w:t>主要人员满足“附录5资格审查条件（主要人员最低要求）”得6分。</w:t>
            </w:r>
          </w:p>
          <w:p>
            <w:pPr>
              <w:adjustRightInd w:val="0"/>
              <w:snapToGrid w:val="0"/>
              <w:spacing w:line="320" w:lineRule="exact"/>
              <w:rPr>
                <w:rFonts w:ascii="Times New Roman" w:hAnsi="Times New Roman" w:eastAsia="宋体" w:cs="Times New Roman"/>
                <w:szCs w:val="21"/>
                <w14:ligatures w14:val="none"/>
              </w:rPr>
            </w:pPr>
            <w:r>
              <w:rPr>
                <w:rFonts w:hint="eastAsia" w:ascii="Calibri" w:hAnsi="宋体" w:eastAsia="宋体" w:cs="宋体"/>
                <w:szCs w:val="21"/>
                <w14:ligatures w14:val="none"/>
              </w:rPr>
              <w:t>主要人员中每有一名高级职称人员加2分，每有一名中级职称人员加1分，最高加4分。高级职称人员和中级职称人员不叠加计算。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50" w:hRule="exact"/>
        </w:trPr>
        <w:tc>
          <w:tcPr>
            <w:tcW w:w="531" w:type="pct"/>
            <w:vAlign w:val="center"/>
          </w:tcPr>
          <w:p>
            <w:pPr>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2.2.4(</w:t>
            </w:r>
            <w:r>
              <w:rPr>
                <w:rFonts w:ascii="宋体" w:hAnsi="宋体" w:eastAsia="宋体" w:cs="Times New Roman"/>
                <w:kern w:val="0"/>
                <w:szCs w:val="21"/>
                <w14:ligatures w14:val="none"/>
              </w:rPr>
              <w:t>3</w:t>
            </w:r>
            <w:r>
              <w:rPr>
                <w:rFonts w:hint="eastAsia" w:ascii="宋体" w:hAnsi="宋体" w:eastAsia="宋体" w:cs="Times New Roman"/>
                <w:kern w:val="0"/>
                <w:szCs w:val="21"/>
                <w14:ligatures w14:val="none"/>
              </w:rPr>
              <w:t>)</w:t>
            </w:r>
          </w:p>
        </w:tc>
        <w:tc>
          <w:tcPr>
            <w:tcW w:w="280" w:type="pct"/>
            <w:vAlign w:val="center"/>
          </w:tcPr>
          <w:p>
            <w:pPr>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评标价</w:t>
            </w:r>
          </w:p>
        </w:tc>
        <w:tc>
          <w:tcPr>
            <w:tcW w:w="404" w:type="pct"/>
            <w:vAlign w:val="center"/>
          </w:tcPr>
          <w:p>
            <w:pPr>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30分</w:t>
            </w:r>
          </w:p>
        </w:tc>
        <w:tc>
          <w:tcPr>
            <w:tcW w:w="3784" w:type="pct"/>
            <w:gridSpan w:val="3"/>
            <w:vAlign w:val="center"/>
          </w:tcPr>
          <w:p>
            <w:pPr>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评标价得分计算公式：</w:t>
            </w:r>
          </w:p>
          <w:p>
            <w:pPr>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（1）如果投标人的评标价＞评标基准价，则评标价得分=F-偏差率×100×E1；</w:t>
            </w:r>
          </w:p>
          <w:p>
            <w:pPr>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（2）如果投标人的评标价≤评标基准价，则评标价得分=F+偏差率×100×E2。</w:t>
            </w:r>
          </w:p>
          <w:p>
            <w:pPr>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其中，F=30；E1=0.2；E2=0.1；评标价最低得分为0分。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1" w:hRule="atLeast"/>
        </w:trPr>
        <w:tc>
          <w:tcPr>
            <w:tcW w:w="531" w:type="pct"/>
            <w:vAlign w:val="center"/>
          </w:tcPr>
          <w:p>
            <w:pPr>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2.2.4(</w:t>
            </w:r>
            <w:r>
              <w:rPr>
                <w:rFonts w:ascii="宋体" w:hAnsi="宋体" w:eastAsia="宋体" w:cs="Times New Roman"/>
                <w:kern w:val="0"/>
                <w:szCs w:val="21"/>
                <w14:ligatures w14:val="none"/>
              </w:rPr>
              <w:t>4</w:t>
            </w:r>
            <w:r>
              <w:rPr>
                <w:rFonts w:hint="eastAsia" w:ascii="宋体" w:hAnsi="宋体" w:eastAsia="宋体" w:cs="Times New Roman"/>
                <w:kern w:val="0"/>
                <w:szCs w:val="21"/>
                <w14:ligatures w14:val="none"/>
              </w:rPr>
              <w:t>)</w:t>
            </w:r>
          </w:p>
        </w:tc>
        <w:tc>
          <w:tcPr>
            <w:tcW w:w="280" w:type="pct"/>
            <w:vAlign w:val="center"/>
          </w:tcPr>
          <w:p>
            <w:pPr>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其他因素</w:t>
            </w:r>
          </w:p>
        </w:tc>
        <w:tc>
          <w:tcPr>
            <w:tcW w:w="404" w:type="pct"/>
            <w:vAlign w:val="center"/>
          </w:tcPr>
          <w:p>
            <w:pPr>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业绩</w:t>
            </w:r>
          </w:p>
          <w:p>
            <w:pPr>
              <w:jc w:val="center"/>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20分</w:t>
            </w:r>
          </w:p>
        </w:tc>
        <w:tc>
          <w:tcPr>
            <w:tcW w:w="3784" w:type="pct"/>
            <w:gridSpan w:val="3"/>
            <w:vAlign w:val="center"/>
          </w:tcPr>
          <w:p>
            <w:pPr>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投标人满足资格审查条件（业绩最低要求）得</w:t>
            </w:r>
            <w:r>
              <w:rPr>
                <w:rFonts w:ascii="宋体" w:hAnsi="宋体" w:eastAsia="宋体" w:cs="Times New Roman"/>
                <w:kern w:val="0"/>
                <w:szCs w:val="21"/>
                <w14:ligatures w14:val="none"/>
              </w:rPr>
              <w:t>1</w:t>
            </w:r>
            <w:r>
              <w:rPr>
                <w:rFonts w:hint="eastAsia" w:ascii="宋体" w:hAnsi="宋体" w:eastAsia="宋体" w:cs="Times New Roman"/>
                <w:kern w:val="0"/>
                <w:szCs w:val="21"/>
                <w14:ligatures w14:val="none"/>
              </w:rPr>
              <w:t>2分。</w:t>
            </w:r>
          </w:p>
          <w:p>
            <w:pPr>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投标人每增加一项满足资格审查条件（业绩最低要求）的业绩加4分，最多加8分。</w:t>
            </w:r>
          </w:p>
        </w:tc>
      </w:tr>
      <w:bookmarkEnd w:id="20"/>
    </w:tbl>
    <w:p>
      <w:pPr>
        <w:rPr>
          <w:rFonts w:ascii="Calibri" w:hAnsi="Calibri" w:eastAsia="宋体" w:cs="Times New Roman"/>
          <w14:ligatures w14:val="none"/>
        </w:rPr>
      </w:pPr>
      <w:r>
        <w:rPr>
          <w:rFonts w:hint="eastAsia" w:ascii="宋体" w:hAnsi="宋体" w:eastAsia="宋体" w:cs="Times New Roman"/>
          <w:kern w:val="0"/>
          <w:sz w:val="20"/>
          <w:szCs w:val="20"/>
          <w14:ligatures w14:val="none"/>
        </w:rPr>
        <w:t>注：1、技术建议书得分应以评标委员会各成员的打分平均值确定；评委打分保留1位小数，汇总得分保留小数点后两位。2、技术建议书评审因素细分项缺项则该项得0分。</w:t>
      </w:r>
      <w:bookmarkEnd w:id="19"/>
    </w:p>
    <w:p>
      <w:pPr>
        <w:rPr>
          <w:rFonts w:ascii="宋体" w:hAnsi="宋体" w:eastAsia="宋体"/>
          <w:sz w:val="24"/>
          <w:szCs w:val="24"/>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DYxNTJjZmI2NmVkYTMyOWVjMGFiZjEzZGM5NjgifQ=="/>
  </w:docVars>
  <w:rsids>
    <w:rsidRoot w:val="0013504F"/>
    <w:rsid w:val="00000505"/>
    <w:rsid w:val="00097A15"/>
    <w:rsid w:val="0013504F"/>
    <w:rsid w:val="00326CD8"/>
    <w:rsid w:val="005D0818"/>
    <w:rsid w:val="006C7B66"/>
    <w:rsid w:val="008C7C44"/>
    <w:rsid w:val="00AF7BCB"/>
    <w:rsid w:val="00E32050"/>
    <w:rsid w:val="00EC229C"/>
    <w:rsid w:val="2E83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1003</Words>
  <Characters>5720</Characters>
  <Lines>47</Lines>
  <Paragraphs>13</Paragraphs>
  <TotalTime>3</TotalTime>
  <ScaleCrop>false</ScaleCrop>
  <LinksUpToDate>false</LinksUpToDate>
  <CharactersWithSpaces>6710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2024-08-28T01:55:00Z</dcterms:created>
  <dc:creator>帆 齐</dc:creator>
  <cp:lastModifiedBy>李娜</cp:lastModifiedBy>
  <dcterms:modified xsi:type="dcterms:W3CDTF">2024-08-28T02:02:44Z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97C1E3556EF84DAB8EBA61432EE979F2_12</vt:lpwstr>
  </property>
</Properties>
</file>