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atLeast"/>
        <w:ind w:firstLine="420" w:firstLineChars="175"/>
        <w:rPr>
          <w:rFonts w:ascii="宋体" w:hAnsi="宋体"/>
          <w:sz w:val="24"/>
          <w:szCs w:val="24"/>
        </w:rPr>
      </w:pPr>
      <w:r>
        <w:rPr>
          <w:rFonts w:hint="eastAsia" w:ascii="宋体" w:hAnsi="宋体"/>
          <w:sz w:val="24"/>
          <w:szCs w:val="24"/>
        </w:rPr>
        <w:t>附件2：评标办法</w:t>
      </w:r>
    </w:p>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名中标候选人；综合评分相等时，评标委员会依次按照以下优先顺序推荐中标候选人：</w:t>
            </w:r>
          </w:p>
          <w:p>
            <w:pPr>
              <w:widowControl/>
              <w:spacing w:line="360" w:lineRule="exact"/>
              <w:ind w:firstLine="420" w:firstLineChars="200"/>
              <w:jc w:val="left"/>
              <w:rPr>
                <w:rFonts w:ascii="宋体" w:hAnsi="宋体"/>
                <w:szCs w:val="21"/>
              </w:rPr>
            </w:pPr>
            <w:r>
              <w:rPr>
                <w:rFonts w:hint="eastAsia" w:ascii="宋体" w:hAnsi="宋体"/>
                <w:szCs w:val="21"/>
              </w:rPr>
              <w:t>（1）评标价低的投标人优先；</w:t>
            </w:r>
          </w:p>
          <w:p>
            <w:pPr>
              <w:widowControl/>
              <w:spacing w:line="360" w:lineRule="exact"/>
              <w:ind w:firstLine="420" w:firstLineChars="200"/>
              <w:jc w:val="left"/>
              <w:rPr>
                <w:rFonts w:ascii="宋体" w:hAnsi="宋体"/>
                <w:szCs w:val="21"/>
              </w:rPr>
            </w:pPr>
            <w:r>
              <w:rPr>
                <w:rFonts w:hint="eastAsia" w:ascii="宋体" w:hAnsi="宋体"/>
                <w:szCs w:val="21"/>
              </w:rPr>
              <w:t>（2）服务方案得分较高的投标人优先；</w:t>
            </w:r>
          </w:p>
          <w:p>
            <w:pPr>
              <w:widowControl/>
              <w:spacing w:line="360" w:lineRule="exact"/>
              <w:ind w:firstLine="420" w:firstLineChars="200"/>
              <w:jc w:val="left"/>
              <w:rPr>
                <w:rFonts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2.1.1</w:t>
            </w:r>
          </w:p>
          <w:p>
            <w:pPr>
              <w:spacing w:before="100" w:beforeAutospacing="1" w:after="100" w:afterAutospacing="1"/>
              <w:jc w:val="center"/>
              <w:rPr>
                <w:rFonts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ascii="宋体" w:hAnsi="宋体"/>
                <w:szCs w:val="21"/>
              </w:rPr>
            </w:pPr>
            <w:r>
              <w:rPr>
                <w:rFonts w:hint="eastAsia" w:ascii="宋体" w:hAnsi="宋体"/>
                <w:szCs w:val="21"/>
              </w:rPr>
              <w:t>a．投标函按招标文件规定填报了项目名称、标段号、补遗书编号（如有）、质量要求、服务期限、安全目标；</w:t>
            </w:r>
          </w:p>
          <w:p>
            <w:pPr>
              <w:widowControl/>
              <w:spacing w:line="360" w:lineRule="exact"/>
              <w:ind w:firstLine="420" w:firstLineChars="200"/>
              <w:jc w:val="left"/>
              <w:rPr>
                <w:rFonts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ascii="宋体" w:hAnsi="宋体"/>
                <w:szCs w:val="21"/>
              </w:rPr>
            </w:pPr>
            <w:r>
              <w:rPr>
                <w:rFonts w:hint="eastAsia" w:ascii="宋体" w:hAnsi="宋体"/>
                <w:szCs w:val="21"/>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（7）同一投标人未对同一标段提交两个以上不同的投标文件。</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ascii="宋体" w:hAnsi="宋体"/>
                <w:szCs w:val="21"/>
              </w:rPr>
            </w:pPr>
            <w:r>
              <w:rPr>
                <w:rFonts w:hint="eastAsia" w:ascii="宋体" w:hAnsi="宋体"/>
                <w:szCs w:val="21"/>
              </w:rPr>
              <w:t>f.投标人未对合同条款有重要保留。</w:t>
            </w:r>
          </w:p>
          <w:p>
            <w:pPr>
              <w:tabs>
                <w:tab w:val="left" w:pos="3060"/>
              </w:tabs>
              <w:spacing w:line="360" w:lineRule="exact"/>
              <w:ind w:firstLine="420" w:firstLineChars="200"/>
              <w:rPr>
                <w:rFonts w:ascii="宋体" w:hAnsi="宋体"/>
                <w:szCs w:val="21"/>
              </w:rPr>
            </w:pPr>
            <w:r>
              <w:rPr>
                <w:rFonts w:hint="eastAsia" w:ascii="宋体" w:hAnsi="宋体"/>
                <w:szCs w:val="21"/>
              </w:rPr>
              <w:t>（13）投标函与所投标段一致。</w:t>
            </w: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ascii="宋体" w:hAnsi="宋体"/>
                <w:bCs/>
                <w:szCs w:val="21"/>
              </w:rPr>
            </w:pPr>
            <w:r>
              <w:rPr>
                <w:rFonts w:hint="eastAsia" w:ascii="宋体" w:hAnsi="宋体"/>
                <w:bCs/>
                <w:szCs w:val="21"/>
              </w:rPr>
              <w:t>a.投标函按招标文件规定填报了标段号、补遗书编号（如有）、投标价（包括大写金额和小写金额）；</w:t>
            </w:r>
          </w:p>
          <w:p>
            <w:pPr>
              <w:tabs>
                <w:tab w:val="left" w:pos="3060"/>
              </w:tabs>
              <w:spacing w:line="360" w:lineRule="exact"/>
              <w:ind w:firstLine="420" w:firstLineChars="200"/>
              <w:rPr>
                <w:rFonts w:ascii="宋体" w:hAnsi="宋体"/>
                <w:bCs/>
                <w:szCs w:val="21"/>
              </w:rPr>
            </w:pPr>
            <w:r>
              <w:rPr>
                <w:rFonts w:hint="eastAsia" w:ascii="宋体" w:hAnsi="宋体"/>
                <w:bCs/>
                <w:szCs w:val="21"/>
              </w:rPr>
              <w:t>b．投标文件组成齐全完整，内容均按规定填写。</w:t>
            </w:r>
          </w:p>
          <w:p>
            <w:pPr>
              <w:tabs>
                <w:tab w:val="left" w:pos="3060"/>
              </w:tabs>
              <w:spacing w:line="360" w:lineRule="exact"/>
              <w:ind w:firstLine="420" w:firstLineChars="200"/>
              <w:rPr>
                <w:rFonts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（5）同一投标人未对同一标段提交两个以上不同的投标报价。</w:t>
            </w:r>
          </w:p>
          <w:p>
            <w:pPr>
              <w:tabs>
                <w:tab w:val="left" w:pos="3060"/>
              </w:tabs>
              <w:spacing w:line="360" w:lineRule="exact"/>
              <w:ind w:firstLine="420" w:firstLineChars="200"/>
              <w:rPr>
                <w:rFonts w:ascii="宋体" w:hAnsi="宋体"/>
                <w:szCs w:val="21"/>
              </w:rPr>
            </w:pPr>
            <w:r>
              <w:rPr>
                <w:rFonts w:hint="eastAsia" w:ascii="宋体" w:hAnsi="宋体"/>
                <w:szCs w:val="21"/>
              </w:rPr>
              <w:t>（6）投标函与所投标段一致。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szCs w:val="21"/>
              </w:rPr>
            </w:pPr>
            <w:r>
              <w:rPr>
                <w:rFonts w:hint="eastAsia" w:ascii="宋体" w:hAnsi="宋体"/>
                <w:szCs w:val="21"/>
              </w:rPr>
              <w:t>（1）投标人具备有效的营业执照和基本账户开户许可证（或基本存款账户信息）。</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（5）投标人的主要人员最低要求符合招标文件规定。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（6）投标人不存在第二章“投标人须知”第1.4.3项或1.4.4项规定的任何一种情形。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b/>
                <w:szCs w:val="21"/>
              </w:rPr>
              <w:t>第一个信封（商务及技术文件）评分分值构成：</w:t>
            </w:r>
          </w:p>
          <w:p>
            <w:pPr>
              <w:spacing w:line="360" w:lineRule="exact"/>
              <w:ind w:firstLine="420" w:firstLineChars="200"/>
              <w:rPr>
                <w:rFonts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 xml:space="preserve">       </w:t>
            </w:r>
            <w:r>
              <w:rPr>
                <w:rFonts w:hint="eastAsia" w:ascii="宋体" w:hAnsi="宋体"/>
                <w:szCs w:val="21"/>
              </w:rPr>
              <w:t>20分</w:t>
            </w:r>
          </w:p>
          <w:p>
            <w:pPr>
              <w:spacing w:line="360" w:lineRule="exact"/>
              <w:ind w:firstLine="420" w:firstLineChars="200"/>
              <w:rPr>
                <w:rFonts w:ascii="宋体" w:hAnsi="宋体"/>
                <w:szCs w:val="21"/>
              </w:rPr>
            </w:pPr>
            <w:r>
              <w:rPr>
                <w:rFonts w:hint="eastAsia" w:ascii="宋体" w:hAnsi="宋体"/>
                <w:szCs w:val="21"/>
              </w:rPr>
              <w:t xml:space="preserve">人    员：       </w:t>
            </w:r>
            <w:r>
              <w:rPr>
                <w:rFonts w:ascii="宋体" w:hAnsi="宋体"/>
                <w:szCs w:val="21"/>
              </w:rPr>
              <w:t xml:space="preserve">       </w:t>
            </w:r>
            <w:r>
              <w:rPr>
                <w:rFonts w:hint="eastAsia" w:ascii="宋体" w:hAnsi="宋体"/>
                <w:szCs w:val="21"/>
              </w:rPr>
              <w:t>10分</w:t>
            </w:r>
          </w:p>
          <w:p>
            <w:pPr>
              <w:spacing w:line="360" w:lineRule="exact"/>
              <w:ind w:firstLine="420" w:firstLineChars="200"/>
              <w:rPr>
                <w:rFonts w:ascii="宋体" w:hAnsi="宋体"/>
                <w:szCs w:val="21"/>
              </w:rPr>
            </w:pPr>
            <w:r>
              <w:rPr>
                <w:rFonts w:hint="eastAsia" w:ascii="宋体" w:hAnsi="宋体"/>
                <w:szCs w:val="21"/>
              </w:rPr>
              <w:t xml:space="preserve">服务方案： </w:t>
            </w:r>
            <w:r>
              <w:rPr>
                <w:rFonts w:ascii="宋体" w:hAnsi="宋体"/>
                <w:szCs w:val="21"/>
              </w:rPr>
              <w:t xml:space="preserve">             </w:t>
            </w:r>
            <w:r>
              <w:rPr>
                <w:rFonts w:hint="eastAsia" w:ascii="宋体" w:hAnsi="宋体"/>
                <w:szCs w:val="21"/>
              </w:rPr>
              <w:t>40分</w:t>
            </w:r>
          </w:p>
          <w:p>
            <w:pPr>
              <w:spacing w:line="360" w:lineRule="exact"/>
              <w:rPr>
                <w:rFonts w:ascii="宋体" w:hAnsi="宋体"/>
                <w:szCs w:val="21"/>
              </w:rPr>
            </w:pPr>
            <w:r>
              <w:rPr>
                <w:rFonts w:hint="eastAsia" w:ascii="宋体" w:hAnsi="宋体"/>
                <w:b/>
                <w:szCs w:val="21"/>
              </w:rPr>
              <w:t>第二个信封（报价文件）评分分值构成：</w:t>
            </w:r>
          </w:p>
          <w:p>
            <w:pPr>
              <w:spacing w:line="360" w:lineRule="exact"/>
              <w:ind w:firstLine="420" w:firstLineChars="200"/>
              <w:rPr>
                <w:rFonts w:ascii="宋体" w:hAnsi="宋体"/>
                <w:szCs w:val="21"/>
              </w:rPr>
            </w:pPr>
            <w:r>
              <w:rPr>
                <w:rFonts w:hint="eastAsia" w:ascii="宋体" w:hAnsi="宋体"/>
                <w:szCs w:val="21"/>
              </w:rPr>
              <w:t xml:space="preserve">评 标 价：       </w:t>
            </w:r>
            <w:r>
              <w:rPr>
                <w:rFonts w:ascii="宋体" w:hAnsi="宋体"/>
                <w:szCs w:val="21"/>
              </w:rPr>
              <w:t xml:space="preserve">       </w:t>
            </w:r>
            <w:r>
              <w:rPr>
                <w:rFonts w:hint="eastAsia" w:ascii="宋体" w:hAnsi="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 xml:space="preserve">评标基准价的计算： </w:t>
            </w:r>
          </w:p>
          <w:p>
            <w:pPr>
              <w:tabs>
                <w:tab w:val="left" w:pos="3060"/>
              </w:tabs>
              <w:spacing w:line="360" w:lineRule="exact"/>
              <w:ind w:firstLine="420" w:firstLineChars="200"/>
              <w:rPr>
                <w:rFonts w:ascii="宋体" w:hAnsi="宋体"/>
                <w:szCs w:val="21"/>
              </w:rPr>
            </w:pPr>
            <w:r>
              <w:rPr>
                <w:rFonts w:hint="eastAsia" w:ascii="宋体" w:hAnsi="宋体"/>
                <w:szCs w:val="21"/>
              </w:rPr>
              <w:t>(1)评标价的确定：</w:t>
            </w:r>
          </w:p>
          <w:p>
            <w:pPr>
              <w:spacing w:line="360" w:lineRule="exact"/>
              <w:ind w:firstLine="420" w:firstLineChars="200"/>
              <w:rPr>
                <w:rFonts w:ascii="宋体" w:hAnsi="宋体"/>
                <w:szCs w:val="21"/>
              </w:rPr>
            </w:pPr>
            <w:r>
              <w:rPr>
                <w:rFonts w:hint="eastAsia" w:ascii="宋体" w:hAnsi="宋体"/>
                <w:szCs w:val="21"/>
              </w:rPr>
              <w:t>评标价=投标函文字报价</w:t>
            </w:r>
          </w:p>
          <w:p>
            <w:pPr>
              <w:spacing w:line="360" w:lineRule="exact"/>
              <w:ind w:firstLine="420" w:firstLineChars="200"/>
              <w:rPr>
                <w:rFonts w:ascii="宋体" w:hAnsi="宋体"/>
                <w:szCs w:val="21"/>
              </w:rPr>
            </w:pPr>
            <w:r>
              <w:rPr>
                <w:rFonts w:hint="eastAsia" w:ascii="宋体" w:hAnsi="宋体"/>
                <w:szCs w:val="21"/>
              </w:rPr>
              <w:t>(2)评标价平均值的计算：</w:t>
            </w:r>
          </w:p>
          <w:p>
            <w:pPr>
              <w:spacing w:line="360" w:lineRule="exact"/>
              <w:ind w:firstLine="420" w:firstLineChars="200"/>
              <w:rPr>
                <w:rFonts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szCs w:val="21"/>
              </w:rPr>
            </w:pPr>
            <w:r>
              <w:rPr>
                <w:rFonts w:hint="eastAsia" w:ascii="宋体" w:hAnsi="宋体"/>
                <w:szCs w:val="21"/>
              </w:rPr>
              <w:t>(3)评标基准价的确定：</w:t>
            </w:r>
          </w:p>
          <w:p>
            <w:pPr>
              <w:spacing w:line="360" w:lineRule="exact"/>
              <w:ind w:firstLine="420" w:firstLineChars="200"/>
              <w:rPr>
                <w:rFonts w:ascii="宋体" w:hAnsi="宋体"/>
                <w:szCs w:val="21"/>
              </w:rPr>
            </w:pPr>
            <w:r>
              <w:rPr>
                <w:rFonts w:hint="eastAsia" w:ascii="宋体" w:hAnsi="宋体"/>
                <w:szCs w:val="21"/>
              </w:rPr>
              <w:t>评标价平均值直接作为评标基准价。</w:t>
            </w:r>
          </w:p>
          <w:p>
            <w:pPr>
              <w:spacing w:line="360" w:lineRule="exact"/>
              <w:ind w:firstLine="420" w:firstLineChars="200"/>
              <w:rPr>
                <w:rFonts w:ascii="宋体" w:hAnsi="宋体"/>
                <w:szCs w:val="21"/>
              </w:rPr>
            </w:pPr>
            <w:r>
              <w:rPr>
                <w:rFonts w:hint="eastAsia" w:ascii="宋体" w:hAnsi="宋体"/>
                <w:szCs w:val="21"/>
              </w:rPr>
              <w:t>评标基准价保留小数点后两位，小数点后第三位四舍五入。</w:t>
            </w:r>
          </w:p>
          <w:p>
            <w:pPr>
              <w:spacing w:line="360" w:lineRule="exact"/>
              <w:ind w:firstLine="420" w:firstLineChars="200"/>
              <w:rPr>
                <w:rFonts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评标委员会评标时在“信用中国网站（http://www.creditchina.gov.cn/)”进行查询，若投标人存在被列入“失信被执行人（或中国执行信息公开网http://zxgk.court.gov.cn/shixin/被执行人查询）、经营异常名录信息查询、重大税收违法失信主体、政府采购严重违法失信行为记录名单”情形的（均不含分公司），评标委员会应否决其投标。</w:t>
            </w:r>
          </w:p>
          <w:p>
            <w:pPr>
              <w:spacing w:line="360" w:lineRule="exact"/>
              <w:ind w:firstLine="420" w:firstLineChars="200"/>
              <w:rPr>
                <w:rFonts w:ascii="Calibri" w:hAnsi="Calibri"/>
                <w:szCs w:val="24"/>
              </w:rPr>
            </w:pPr>
            <w:r>
              <w:rPr>
                <w:rFonts w:hint="eastAsia" w:ascii="宋体" w:hAnsi="宋体"/>
              </w:rPr>
              <w:t>如投标人未提供相关网页截图或所附截图与复核结果不一致，评标委员会应否决其投标。</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需要补充的其他内容：无</w:t>
            </w:r>
          </w:p>
        </w:tc>
      </w:tr>
    </w:tbl>
    <w:p>
      <w:pPr>
        <w:jc w:val="left"/>
        <w:rPr>
          <w:rFonts w:ascii="宋体" w:hAnsi="宋体"/>
          <w:szCs w:val="21"/>
        </w:rPr>
      </w:pPr>
      <w:r>
        <w:rPr>
          <w:rFonts w:ascii="宋体" w:hAnsi="宋体"/>
          <w:szCs w:val="21"/>
        </w:rPr>
        <w:br w:type="page"/>
      </w:r>
      <w:r>
        <w:rPr>
          <w:rFonts w:hint="eastAsia" w:ascii="宋体" w:hAnsi="宋体"/>
          <w:szCs w:val="21"/>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szCs w:val="21"/>
              </w:rPr>
            </w:pPr>
            <w:r>
              <w:rPr>
                <w:rFonts w:hint="eastAsia" w:ascii="宋体" w:hAnsi="宋体"/>
                <w:szCs w:val="21"/>
              </w:rPr>
              <w:t>序号</w:t>
            </w:r>
          </w:p>
        </w:tc>
        <w:tc>
          <w:tcPr>
            <w:tcW w:w="2154" w:type="dxa"/>
            <w:gridSpan w:val="2"/>
            <w:vAlign w:val="center"/>
          </w:tcPr>
          <w:p>
            <w:pPr>
              <w:jc w:val="center"/>
              <w:rPr>
                <w:rFonts w:ascii="宋体" w:hAnsi="宋体"/>
                <w:szCs w:val="21"/>
              </w:rPr>
            </w:pPr>
            <w:r>
              <w:rPr>
                <w:rFonts w:hint="eastAsia" w:ascii="宋体" w:hAnsi="宋体"/>
                <w:szCs w:val="21"/>
              </w:rPr>
              <w:t>评审项目</w:t>
            </w:r>
          </w:p>
        </w:tc>
        <w:tc>
          <w:tcPr>
            <w:tcW w:w="843" w:type="dxa"/>
            <w:vAlign w:val="center"/>
          </w:tcPr>
          <w:p>
            <w:pPr>
              <w:jc w:val="center"/>
              <w:rPr>
                <w:rFonts w:ascii="宋体" w:hAnsi="宋体"/>
                <w:szCs w:val="21"/>
              </w:rPr>
            </w:pPr>
            <w:r>
              <w:rPr>
                <w:rFonts w:hint="eastAsia" w:ascii="宋体" w:hAnsi="宋体"/>
                <w:szCs w:val="21"/>
              </w:rPr>
              <w:t>标准分</w:t>
            </w:r>
          </w:p>
        </w:tc>
        <w:tc>
          <w:tcPr>
            <w:tcW w:w="5978" w:type="dxa"/>
            <w:vAlign w:val="center"/>
          </w:tcPr>
          <w:p>
            <w:pPr>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735" w:type="dxa"/>
            <w:vMerge w:val="restart"/>
            <w:vAlign w:val="center"/>
          </w:tcPr>
          <w:p>
            <w:pPr>
              <w:snapToGrid w:val="0"/>
              <w:jc w:val="center"/>
              <w:rPr>
                <w:rFonts w:ascii="宋体" w:hAnsi="宋体" w:cs="宋体"/>
                <w:bCs/>
                <w:w w:val="90"/>
                <w:szCs w:val="21"/>
              </w:rPr>
            </w:pPr>
            <w:r>
              <w:rPr>
                <w:rFonts w:ascii="宋体" w:hAnsi="宋体" w:cs="宋体"/>
                <w:bCs/>
                <w:szCs w:val="21"/>
              </w:rPr>
              <w:t>2.2.4</w:t>
            </w:r>
            <w:r>
              <w:rPr>
                <w:rFonts w:hint="eastAsia" w:ascii="宋体" w:hAnsi="宋体" w:cs="宋体"/>
                <w:bCs/>
                <w:szCs w:val="21"/>
              </w:rPr>
              <w:t>（1）</w:t>
            </w:r>
          </w:p>
        </w:tc>
        <w:tc>
          <w:tcPr>
            <w:tcW w:w="2154" w:type="dxa"/>
            <w:gridSpan w:val="2"/>
            <w:vMerge w:val="restart"/>
            <w:vAlign w:val="center"/>
          </w:tcPr>
          <w:p>
            <w:pPr>
              <w:snapToGrid w:val="0"/>
              <w:jc w:val="center"/>
              <w:rPr>
                <w:rFonts w:ascii="宋体" w:hAnsi="宋体" w:cs="宋体"/>
                <w:bCs/>
                <w:szCs w:val="21"/>
              </w:rPr>
            </w:pPr>
            <w:r>
              <w:rPr>
                <w:rFonts w:hint="eastAsia" w:ascii="宋体" w:hAnsi="宋体" w:cs="宋体"/>
                <w:bCs/>
                <w:szCs w:val="21"/>
              </w:rPr>
              <w:t>业绩</w:t>
            </w:r>
          </w:p>
        </w:tc>
        <w:tc>
          <w:tcPr>
            <w:tcW w:w="843" w:type="dxa"/>
            <w:vMerge w:val="restart"/>
            <w:vAlign w:val="center"/>
          </w:tcPr>
          <w:p>
            <w:pPr>
              <w:snapToGrid w:val="0"/>
              <w:jc w:val="center"/>
              <w:rPr>
                <w:rFonts w:ascii="宋体" w:hAnsi="宋体" w:cs="宋体"/>
                <w:bCs/>
                <w:szCs w:val="21"/>
              </w:rPr>
            </w:pPr>
            <w:r>
              <w:rPr>
                <w:rFonts w:ascii="宋体" w:hAnsi="宋体" w:cs="宋体"/>
                <w:bCs/>
                <w:szCs w:val="21"/>
              </w:rPr>
              <w:t>2</w:t>
            </w:r>
            <w:r>
              <w:rPr>
                <w:rFonts w:hint="eastAsia" w:ascii="宋体" w:hAnsi="宋体" w:cs="宋体"/>
                <w:bCs/>
                <w:szCs w:val="21"/>
              </w:rPr>
              <w:t>0分</w:t>
            </w:r>
          </w:p>
        </w:tc>
        <w:tc>
          <w:tcPr>
            <w:tcW w:w="5978" w:type="dxa"/>
            <w:vAlign w:val="center"/>
          </w:tcPr>
          <w:p>
            <w:pPr>
              <w:snapToGrid w:val="0"/>
              <w:rPr>
                <w:rFonts w:ascii="宋体" w:hAnsi="宋体" w:cs="宋体"/>
                <w:bCs/>
                <w:szCs w:val="21"/>
              </w:rPr>
            </w:pPr>
            <w:r>
              <w:rPr>
                <w:rFonts w:hint="eastAsia" w:ascii="宋体" w:hAnsi="宋体"/>
                <w:szCs w:val="21"/>
              </w:rPr>
              <w:t>满足资格审查条件要求(业绩最低要求)得12分；</w:t>
            </w:r>
            <w:r>
              <w:rPr>
                <w:rFonts w:ascii="宋体" w:hAnsi="宋体" w:cs="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Merge w:val="continue"/>
            <w:vAlign w:val="center"/>
          </w:tcPr>
          <w:p>
            <w:pPr>
              <w:snapToGrid w:val="0"/>
              <w:jc w:val="center"/>
              <w:rPr>
                <w:rFonts w:ascii="宋体" w:hAnsi="宋体" w:cs="宋体"/>
                <w:bCs/>
                <w:w w:val="90"/>
                <w:szCs w:val="21"/>
              </w:rPr>
            </w:pPr>
          </w:p>
        </w:tc>
        <w:tc>
          <w:tcPr>
            <w:tcW w:w="2154" w:type="dxa"/>
            <w:gridSpan w:val="2"/>
            <w:vMerge w:val="continue"/>
            <w:vAlign w:val="center"/>
          </w:tcPr>
          <w:p>
            <w:pPr>
              <w:snapToGrid w:val="0"/>
              <w:jc w:val="center"/>
              <w:rPr>
                <w:rFonts w:ascii="宋体" w:hAnsi="宋体" w:cs="宋体"/>
                <w:bCs/>
                <w:szCs w:val="21"/>
              </w:rPr>
            </w:pPr>
          </w:p>
        </w:tc>
        <w:tc>
          <w:tcPr>
            <w:tcW w:w="843" w:type="dxa"/>
            <w:vMerge w:val="continue"/>
            <w:vAlign w:val="center"/>
          </w:tcPr>
          <w:p>
            <w:pPr>
              <w:snapToGrid w:val="0"/>
              <w:jc w:val="center"/>
              <w:rPr>
                <w:rFonts w:ascii="宋体" w:hAnsi="宋体" w:cs="宋体"/>
                <w:bCs/>
                <w:szCs w:val="21"/>
              </w:rPr>
            </w:pPr>
          </w:p>
        </w:tc>
        <w:tc>
          <w:tcPr>
            <w:tcW w:w="5978" w:type="dxa"/>
            <w:vAlign w:val="center"/>
          </w:tcPr>
          <w:p>
            <w:pPr>
              <w:snapToGrid w:val="0"/>
              <w:rPr>
                <w:rFonts w:ascii="宋体" w:hAnsi="宋体"/>
                <w:szCs w:val="21"/>
              </w:rPr>
            </w:pPr>
            <w:r>
              <w:rPr>
                <w:rFonts w:hint="eastAsia" w:ascii="宋体" w:hAnsi="宋体"/>
                <w:szCs w:val="21"/>
              </w:rPr>
              <w:t>每增加一项</w:t>
            </w:r>
            <w:r>
              <w:rPr>
                <w:rFonts w:hint="eastAsia" w:ascii="宋体" w:hAnsi="宋体"/>
              </w:rPr>
              <w:t>满足资格审查条件要求</w:t>
            </w:r>
            <w:r>
              <w:rPr>
                <w:rFonts w:hint="eastAsia" w:ascii="宋体" w:hAnsi="宋体"/>
                <w:szCs w:val="21"/>
              </w:rPr>
              <w:t>(业绩最低要求)</w:t>
            </w:r>
            <w:r>
              <w:rPr>
                <w:rFonts w:hint="eastAsia" w:ascii="宋体" w:hAnsi="宋体"/>
              </w:rPr>
              <w:t>的</w:t>
            </w:r>
            <w:r>
              <w:rPr>
                <w:rFonts w:hint="eastAsia" w:ascii="宋体" w:hAnsi="宋体" w:cs="宋体"/>
                <w:bCs/>
                <w:szCs w:val="21"/>
              </w:rPr>
              <w:t>业绩加4分，最高加8分。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3" w:hRule="atLeast"/>
          <w:jc w:val="center"/>
        </w:trPr>
        <w:tc>
          <w:tcPr>
            <w:tcW w:w="735" w:type="dxa"/>
            <w:vAlign w:val="center"/>
          </w:tcPr>
          <w:p>
            <w:pPr>
              <w:snapToGrid w:val="0"/>
              <w:jc w:val="center"/>
              <w:rPr>
                <w:rFonts w:ascii="宋体" w:hAnsi="宋体" w:cs="宋体"/>
                <w:bCs/>
                <w:w w:val="90"/>
                <w:szCs w:val="21"/>
              </w:rPr>
            </w:pPr>
            <w:r>
              <w:rPr>
                <w:rFonts w:ascii="宋体" w:hAnsi="宋体" w:cs="宋体"/>
                <w:bCs/>
                <w:szCs w:val="21"/>
              </w:rPr>
              <w:t>2.2.4</w:t>
            </w:r>
            <w:r>
              <w:rPr>
                <w:rFonts w:hint="eastAsia" w:ascii="宋体" w:hAnsi="宋体" w:cs="宋体"/>
                <w:bCs/>
                <w:szCs w:val="21"/>
              </w:rPr>
              <w:t>（2）</w:t>
            </w:r>
          </w:p>
        </w:tc>
        <w:tc>
          <w:tcPr>
            <w:tcW w:w="2154" w:type="dxa"/>
            <w:gridSpan w:val="2"/>
            <w:vAlign w:val="center"/>
          </w:tcPr>
          <w:p>
            <w:pPr>
              <w:snapToGrid w:val="0"/>
              <w:jc w:val="center"/>
              <w:rPr>
                <w:rFonts w:ascii="宋体" w:hAnsi="宋体" w:cs="宋体"/>
                <w:bCs/>
                <w:szCs w:val="21"/>
              </w:rPr>
            </w:pPr>
            <w:r>
              <w:rPr>
                <w:rFonts w:hint="eastAsia" w:ascii="宋体" w:hAnsi="宋体" w:cs="宋体"/>
                <w:bCs/>
                <w:szCs w:val="21"/>
              </w:rPr>
              <w:t>人员</w:t>
            </w:r>
          </w:p>
        </w:tc>
        <w:tc>
          <w:tcPr>
            <w:tcW w:w="843" w:type="dxa"/>
            <w:vAlign w:val="center"/>
          </w:tcPr>
          <w:p>
            <w:pPr>
              <w:snapToGrid w:val="0"/>
              <w:jc w:val="center"/>
              <w:rPr>
                <w:rFonts w:ascii="宋体" w:hAnsi="宋体" w:cs="宋体"/>
                <w:bCs/>
                <w:szCs w:val="21"/>
              </w:rPr>
            </w:pPr>
            <w:r>
              <w:rPr>
                <w:rFonts w:hint="eastAsia" w:ascii="宋体" w:hAnsi="宋体" w:cs="宋体"/>
                <w:bCs/>
                <w:szCs w:val="21"/>
              </w:rPr>
              <w:t>10分</w:t>
            </w:r>
          </w:p>
        </w:tc>
        <w:tc>
          <w:tcPr>
            <w:tcW w:w="5978" w:type="dxa"/>
            <w:vAlign w:val="center"/>
          </w:tcPr>
          <w:p>
            <w:pPr>
              <w:snapToGrid w:val="0"/>
              <w:rPr>
                <w:rFonts w:ascii="宋体" w:hAnsi="宋体"/>
                <w:szCs w:val="21"/>
              </w:rPr>
            </w:pPr>
            <w:r>
              <w:rPr>
                <w:rFonts w:hint="eastAsia" w:ascii="宋体" w:hAnsi="宋体"/>
                <w:szCs w:val="21"/>
              </w:rPr>
              <w:t>满足资格审查条件要求（主要人员最低要求）得6分，服务人数每增加1人加1分，最高加4分。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553" w:hRule="atLeast"/>
          <w:jc w:val="center"/>
        </w:trPr>
        <w:tc>
          <w:tcPr>
            <w:tcW w:w="735" w:type="dxa"/>
            <w:vMerge w:val="restart"/>
            <w:tcBorders>
              <w:right w:val="single" w:color="auto" w:sz="2" w:space="0"/>
            </w:tcBorders>
            <w:vAlign w:val="center"/>
          </w:tcPr>
          <w:p>
            <w:pPr>
              <w:snapToGrid w:val="0"/>
              <w:jc w:val="center"/>
              <w:rPr>
                <w:rFonts w:ascii="宋体" w:hAnsi="宋体" w:cs="宋体"/>
                <w:bCs/>
                <w:w w:val="90"/>
                <w:szCs w:val="21"/>
              </w:rPr>
            </w:pPr>
            <w:r>
              <w:rPr>
                <w:rFonts w:ascii="宋体" w:hAnsi="宋体" w:cs="宋体"/>
                <w:bCs/>
                <w:szCs w:val="21"/>
              </w:rPr>
              <w:t>2.2.4</w:t>
            </w:r>
            <w:r>
              <w:rPr>
                <w:rFonts w:hint="eastAsia" w:ascii="宋体" w:hAnsi="宋体" w:cs="宋体"/>
                <w:bCs/>
                <w:szCs w:val="21"/>
              </w:rPr>
              <w:t>（2）</w:t>
            </w:r>
          </w:p>
        </w:tc>
        <w:tc>
          <w:tcPr>
            <w:tcW w:w="1030" w:type="dxa"/>
            <w:vMerge w:val="restart"/>
            <w:tcBorders>
              <w:left w:val="single" w:color="auto" w:sz="2" w:space="0"/>
              <w:right w:val="single" w:color="auto" w:sz="2" w:space="0"/>
            </w:tcBorders>
            <w:vAlign w:val="center"/>
          </w:tcPr>
          <w:p>
            <w:pPr>
              <w:snapToGrid w:val="0"/>
              <w:spacing w:before="120" w:beforeLines="50" w:after="120" w:afterLines="50"/>
              <w:jc w:val="center"/>
              <w:rPr>
                <w:rFonts w:ascii="宋体" w:hAnsi="宋体" w:cs="宋体"/>
                <w:bCs/>
                <w:szCs w:val="21"/>
              </w:rPr>
            </w:pPr>
            <w:r>
              <w:rPr>
                <w:rFonts w:hint="eastAsia" w:ascii="宋体" w:hAnsi="宋体" w:cs="宋体"/>
                <w:bCs/>
                <w:szCs w:val="21"/>
              </w:rPr>
              <w:t>服务方案</w:t>
            </w:r>
          </w:p>
          <w:p>
            <w:pPr>
              <w:snapToGrid w:val="0"/>
              <w:spacing w:before="120" w:beforeLines="50" w:after="120" w:afterLines="50"/>
              <w:jc w:val="center"/>
              <w:rPr>
                <w:rFonts w:ascii="宋体" w:hAnsi="宋体" w:cs="宋体"/>
                <w:bCs/>
                <w:szCs w:val="21"/>
              </w:rPr>
            </w:pPr>
            <w:r>
              <w:rPr>
                <w:rFonts w:hint="eastAsia" w:ascii="宋体" w:hAnsi="宋体" w:cs="宋体"/>
                <w:bCs/>
                <w:szCs w:val="21"/>
              </w:rPr>
              <w:t>（40分）</w:t>
            </w: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完成服务工作的实施计划</w:t>
            </w:r>
          </w:p>
        </w:tc>
        <w:tc>
          <w:tcPr>
            <w:tcW w:w="843" w:type="dxa"/>
            <w:vAlign w:val="center"/>
          </w:tcPr>
          <w:p>
            <w:pPr>
              <w:snapToGrid w:val="0"/>
              <w:jc w:val="center"/>
              <w:rPr>
                <w:rFonts w:ascii="宋体" w:hAnsi="宋体" w:cs="宋体"/>
                <w:bCs/>
                <w:szCs w:val="21"/>
              </w:rPr>
            </w:pPr>
            <w:r>
              <w:rPr>
                <w:rFonts w:ascii="宋体" w:hAnsi="宋体" w:cs="宋体"/>
                <w:bCs/>
                <w:szCs w:val="21"/>
              </w:rPr>
              <w:t>1</w:t>
            </w:r>
            <w:r>
              <w:rPr>
                <w:rFonts w:hint="eastAsia" w:ascii="宋体" w:hAnsi="宋体" w:cs="宋体"/>
                <w:bCs/>
                <w:szCs w:val="21"/>
              </w:rPr>
              <w:t>0分</w:t>
            </w:r>
          </w:p>
        </w:tc>
        <w:tc>
          <w:tcPr>
            <w:tcW w:w="5978" w:type="dxa"/>
            <w:vAlign w:val="center"/>
          </w:tcPr>
          <w:p>
            <w:pPr>
              <w:snapToGrid w:val="0"/>
              <w:rPr>
                <w:rFonts w:ascii="宋体" w:hAnsi="宋体" w:cs="宋体"/>
                <w:bCs/>
                <w:szCs w:val="21"/>
              </w:rPr>
            </w:pPr>
            <w:r>
              <w:rPr>
                <w:rFonts w:hint="eastAsia" w:ascii="宋体" w:hAnsi="宋体" w:cs="宋体"/>
                <w:bCs/>
                <w:szCs w:val="21"/>
              </w:rPr>
              <w:t>第一档，实施计划科学合理，总体方案完整、内容齐全，有针对性，得8-10分；</w:t>
            </w:r>
          </w:p>
          <w:p>
            <w:pPr>
              <w:snapToGrid w:val="0"/>
              <w:rPr>
                <w:rFonts w:ascii="宋体" w:hAnsi="宋体" w:cs="宋体"/>
                <w:bCs/>
                <w:szCs w:val="21"/>
              </w:rPr>
            </w:pPr>
            <w:r>
              <w:rPr>
                <w:rFonts w:hint="eastAsia" w:ascii="宋体" w:hAnsi="宋体" w:cs="宋体"/>
                <w:bCs/>
                <w:szCs w:val="21"/>
              </w:rPr>
              <w:t>第二档，实施计划较科学合理，总体方案较完整，得6-8分；</w:t>
            </w:r>
          </w:p>
          <w:p>
            <w:pPr>
              <w:snapToGrid w:val="0"/>
              <w:rPr>
                <w:rFonts w:ascii="宋体" w:hAnsi="宋体" w:cs="宋体"/>
                <w:bCs/>
                <w:szCs w:val="21"/>
              </w:rPr>
            </w:pPr>
            <w:r>
              <w:rPr>
                <w:rFonts w:hint="eastAsia" w:ascii="宋体" w:hAnsi="宋体" w:cs="宋体"/>
                <w:bCs/>
                <w:szCs w:val="21"/>
              </w:rPr>
              <w:t>第三档，实施计划基本合理，总体方案简单，得6分。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服务工作的重点和难点分析</w:t>
            </w:r>
          </w:p>
        </w:tc>
        <w:tc>
          <w:tcPr>
            <w:tcW w:w="843" w:type="dxa"/>
            <w:vAlign w:val="center"/>
          </w:tcPr>
          <w:p>
            <w:pPr>
              <w:snapToGrid w:val="0"/>
              <w:jc w:val="center"/>
              <w:rPr>
                <w:rFonts w:ascii="宋体" w:hAnsi="宋体" w:cs="宋体"/>
                <w:bCs/>
                <w:szCs w:val="21"/>
              </w:rPr>
            </w:pPr>
            <w:r>
              <w:rPr>
                <w:rFonts w:ascii="宋体" w:hAnsi="宋体" w:cs="宋体"/>
                <w:bCs/>
                <w:szCs w:val="21"/>
              </w:rPr>
              <w:t>1</w:t>
            </w:r>
            <w:r>
              <w:rPr>
                <w:rFonts w:hint="eastAsia" w:ascii="宋体" w:hAnsi="宋体" w:cs="宋体"/>
                <w:bCs/>
                <w:szCs w:val="21"/>
              </w:rPr>
              <w:t>0分</w:t>
            </w:r>
          </w:p>
        </w:tc>
        <w:tc>
          <w:tcPr>
            <w:tcW w:w="5978" w:type="dxa"/>
            <w:vAlign w:val="center"/>
          </w:tcPr>
          <w:p>
            <w:pPr>
              <w:snapToGrid w:val="0"/>
              <w:rPr>
                <w:rFonts w:ascii="宋体" w:hAnsi="宋体" w:cs="宋体"/>
                <w:bCs/>
                <w:szCs w:val="21"/>
              </w:rPr>
            </w:pPr>
            <w:r>
              <w:rPr>
                <w:rFonts w:hint="eastAsia" w:ascii="宋体" w:hAnsi="宋体" w:cs="宋体"/>
                <w:bCs/>
                <w:szCs w:val="21"/>
              </w:rPr>
              <w:t>第一档，重点难点理解到位，科学合理，内容详细，得8-10分；</w:t>
            </w:r>
          </w:p>
          <w:p>
            <w:pPr>
              <w:snapToGrid w:val="0"/>
              <w:rPr>
                <w:rFonts w:ascii="宋体" w:hAnsi="宋体" w:cs="宋体"/>
                <w:bCs/>
                <w:szCs w:val="21"/>
              </w:rPr>
            </w:pPr>
            <w:r>
              <w:rPr>
                <w:rFonts w:hint="eastAsia" w:ascii="宋体" w:hAnsi="宋体" w:cs="宋体"/>
                <w:bCs/>
                <w:szCs w:val="21"/>
              </w:rPr>
              <w:t>第二档，较科学合理，内容较详细，得6-8分；</w:t>
            </w:r>
          </w:p>
          <w:p>
            <w:pPr>
              <w:snapToGrid w:val="0"/>
              <w:rPr>
                <w:rFonts w:ascii="宋体" w:hAnsi="宋体" w:cs="宋体"/>
                <w:bCs/>
                <w:szCs w:val="21"/>
              </w:rPr>
            </w:pPr>
            <w:r>
              <w:rPr>
                <w:rFonts w:hint="eastAsia" w:ascii="宋体" w:hAnsi="宋体" w:cs="宋体"/>
                <w:bCs/>
                <w:szCs w:val="21"/>
              </w:rPr>
              <w:t>第三档，基本合理，内容简单，得6分。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服务工作的质量保证、进度控制措施</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第一档，科学合理、完善可行、有针对性，得</w:t>
            </w:r>
            <w:r>
              <w:rPr>
                <w:rFonts w:ascii="宋体" w:hAnsi="宋体" w:cs="宋体"/>
                <w:bCs/>
                <w:szCs w:val="21"/>
              </w:rPr>
              <w:t>8-10</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第二档，较科学、较完善可行、较有针对性，得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第三档，保证措施一般，得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延伸服务</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第一档，延伸服务系统全面、科学合理，得8-10分；</w:t>
            </w:r>
          </w:p>
          <w:p>
            <w:pPr>
              <w:snapToGrid w:val="0"/>
              <w:rPr>
                <w:rFonts w:ascii="宋体" w:hAnsi="宋体" w:cs="宋体"/>
                <w:bCs/>
                <w:szCs w:val="21"/>
              </w:rPr>
            </w:pPr>
            <w:r>
              <w:rPr>
                <w:rFonts w:hint="eastAsia" w:ascii="宋体" w:hAnsi="宋体" w:cs="宋体"/>
                <w:bCs/>
                <w:szCs w:val="21"/>
              </w:rPr>
              <w:t>第二档，延伸服务较完整、较科学，得6-8分；</w:t>
            </w:r>
          </w:p>
          <w:p>
            <w:pPr>
              <w:snapToGrid w:val="0"/>
              <w:rPr>
                <w:rFonts w:ascii="宋体" w:hAnsi="宋体" w:cs="宋体"/>
                <w:bCs/>
                <w:szCs w:val="21"/>
              </w:rPr>
            </w:pPr>
            <w:r>
              <w:rPr>
                <w:rFonts w:hint="eastAsia" w:ascii="宋体" w:hAnsi="宋体" w:cs="宋体"/>
                <w:bCs/>
                <w:szCs w:val="21"/>
              </w:rPr>
              <w:t>第三档，延伸服务基本完整或基本合理，得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snapToGrid w:val="0"/>
              <w:jc w:val="center"/>
              <w:rPr>
                <w:rFonts w:ascii="宋体" w:hAnsi="宋体" w:cs="宋体"/>
                <w:bCs/>
                <w:szCs w:val="21"/>
              </w:rPr>
            </w:pPr>
            <w:r>
              <w:rPr>
                <w:rFonts w:ascii="宋体" w:hAnsi="宋体" w:cs="宋体"/>
                <w:bCs/>
                <w:szCs w:val="21"/>
              </w:rPr>
              <w:t>2.2.4</w:t>
            </w:r>
            <w:r>
              <w:rPr>
                <w:rFonts w:hint="eastAsia" w:ascii="宋体" w:hAnsi="宋体" w:cs="宋体"/>
                <w:bCs/>
                <w:szCs w:val="21"/>
              </w:rPr>
              <w:t>（3）</w:t>
            </w:r>
          </w:p>
        </w:tc>
        <w:tc>
          <w:tcPr>
            <w:tcW w:w="2154" w:type="dxa"/>
            <w:gridSpan w:val="2"/>
            <w:tcBorders>
              <w:left w:val="single" w:color="auto" w:sz="2" w:space="0"/>
            </w:tcBorders>
            <w:vAlign w:val="center"/>
          </w:tcPr>
          <w:p>
            <w:pPr>
              <w:jc w:val="center"/>
              <w:rPr>
                <w:rFonts w:ascii="宋体" w:hAnsi="宋体" w:cs="宋体"/>
                <w:bCs/>
                <w:szCs w:val="21"/>
              </w:rPr>
            </w:pPr>
            <w:r>
              <w:rPr>
                <w:rFonts w:hint="eastAsia" w:ascii="宋体" w:hAnsi="宋体" w:cs="宋体"/>
                <w:bCs/>
                <w:szCs w:val="21"/>
              </w:rPr>
              <w:t>评标价</w:t>
            </w:r>
          </w:p>
        </w:tc>
        <w:tc>
          <w:tcPr>
            <w:tcW w:w="843" w:type="dxa"/>
            <w:vAlign w:val="center"/>
          </w:tcPr>
          <w:p>
            <w:pPr>
              <w:jc w:val="center"/>
              <w:rPr>
                <w:rFonts w:ascii="宋体" w:hAnsi="宋体" w:cs="宋体"/>
                <w:bCs/>
                <w:szCs w:val="21"/>
              </w:rPr>
            </w:pPr>
            <w:r>
              <w:rPr>
                <w:rFonts w:hint="eastAsia" w:ascii="宋体" w:hAnsi="宋体" w:cs="宋体"/>
                <w:bCs/>
                <w:szCs w:val="21"/>
              </w:rPr>
              <w:t>3</w:t>
            </w:r>
            <w:r>
              <w:rPr>
                <w:rFonts w:ascii="宋体" w:hAnsi="宋体" w:cs="宋体"/>
                <w:bCs/>
                <w:szCs w:val="21"/>
              </w:rPr>
              <w:t>0</w:t>
            </w:r>
            <w:r>
              <w:rPr>
                <w:rFonts w:hint="eastAsia" w:ascii="宋体" w:hAnsi="宋体" w:cs="宋体"/>
                <w:bCs/>
                <w:szCs w:val="21"/>
              </w:rPr>
              <w:t>分</w:t>
            </w:r>
          </w:p>
        </w:tc>
        <w:tc>
          <w:tcPr>
            <w:tcW w:w="5978" w:type="dxa"/>
            <w:vAlign w:val="center"/>
          </w:tcPr>
          <w:p>
            <w:pPr>
              <w:rPr>
                <w:rFonts w:ascii="宋体" w:hAnsi="宋体"/>
                <w:szCs w:val="21"/>
              </w:rPr>
            </w:pPr>
            <w:r>
              <w:rPr>
                <w:rFonts w:hint="eastAsia" w:ascii="宋体" w:hAnsi="宋体"/>
                <w:szCs w:val="21"/>
              </w:rPr>
              <w:t>评标价得分计算公式示例：</w:t>
            </w:r>
          </w:p>
          <w:p>
            <w:pPr>
              <w:ind w:firstLine="243" w:firstLineChars="116"/>
              <w:rPr>
                <w:rFonts w:ascii="宋体" w:hAnsi="宋体"/>
                <w:szCs w:val="21"/>
              </w:rPr>
            </w:pPr>
            <w:r>
              <w:rPr>
                <w:rFonts w:hint="eastAsia" w:ascii="宋体" w:hAnsi="宋体"/>
                <w:szCs w:val="21"/>
              </w:rPr>
              <w:t>（1）如果投标人的评标价＞评标基准价，则评标价得分=F-（投标人评标价-评标基准价）/评标基准价×100×E1；</w:t>
            </w:r>
          </w:p>
          <w:p>
            <w:pPr>
              <w:ind w:firstLine="243" w:firstLineChars="116"/>
              <w:rPr>
                <w:rFonts w:ascii="宋体" w:hAnsi="宋体"/>
                <w:szCs w:val="21"/>
              </w:rPr>
            </w:pPr>
            <w:r>
              <w:rPr>
                <w:rFonts w:hint="eastAsia" w:ascii="宋体" w:hAnsi="宋体"/>
                <w:szCs w:val="21"/>
              </w:rPr>
              <w:t>（2）如果投标人的评标价≤评标基准价，则评标价得分=F+(投标人评标价-评标基准价)/评标基准价×100×E2。</w:t>
            </w:r>
          </w:p>
          <w:p>
            <w:pPr>
              <w:ind w:firstLine="243" w:firstLineChars="116"/>
              <w:rPr>
                <w:rFonts w:ascii="宋体" w:hAnsi="宋体"/>
                <w:szCs w:val="21"/>
              </w:rPr>
            </w:pPr>
            <w:r>
              <w:rPr>
                <w:rFonts w:hint="eastAsia" w:ascii="宋体" w:hAnsi="宋体"/>
                <w:szCs w:val="21"/>
              </w:rPr>
              <w:t>其中，F=30；E1=0.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w:t>
            </w:r>
          </w:p>
          <w:p>
            <w:pPr>
              <w:ind w:firstLine="243" w:firstLineChars="116"/>
            </w:pPr>
            <w:r>
              <w:rPr>
                <w:rFonts w:hint="eastAsia" w:ascii="宋体" w:hAnsi="宋体"/>
                <w:szCs w:val="21"/>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cs="宋体"/>
                <w:bCs/>
                <w:szCs w:val="21"/>
              </w:rPr>
            </w:pPr>
            <w:r>
              <w:rPr>
                <w:rFonts w:hint="eastAsia" w:ascii="宋体" w:hAnsi="宋体" w:cs="宋体"/>
                <w:bCs/>
                <w:szCs w:val="21"/>
              </w:rPr>
              <w:t>合计</w:t>
            </w:r>
          </w:p>
        </w:tc>
        <w:tc>
          <w:tcPr>
            <w:tcW w:w="843" w:type="dxa"/>
            <w:vAlign w:val="center"/>
          </w:tcPr>
          <w:p>
            <w:pPr>
              <w:jc w:val="center"/>
              <w:rPr>
                <w:rFonts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pPr>
              <w:jc w:val="center"/>
              <w:rPr>
                <w:rFonts w:ascii="宋体" w:hAnsi="宋体" w:cs="宋体"/>
                <w:bCs/>
                <w:szCs w:val="21"/>
              </w:rPr>
            </w:pPr>
          </w:p>
        </w:tc>
      </w:tr>
    </w:tbl>
    <w:p>
      <w:pPr>
        <w:spacing w:line="312" w:lineRule="auto"/>
        <w:rPr>
          <w:rFonts w:ascii="宋体" w:hAnsi="宋体"/>
          <w:szCs w:val="21"/>
        </w:rPr>
      </w:pPr>
      <w:r>
        <w:rPr>
          <w:rFonts w:hint="eastAsia" w:ascii="宋体" w:hAnsi="宋体"/>
          <w:szCs w:val="21"/>
        </w:rPr>
        <w:t>注：1、各分项得分为各评委打分算术平均值，评委打分平均值保留两位小数，第三位四舍五入。</w:t>
      </w:r>
    </w:p>
    <w:p>
      <w:pPr>
        <w:spacing w:line="312" w:lineRule="auto"/>
        <w:ind w:firstLine="420" w:firstLineChars="200"/>
        <w:rPr>
          <w:rFonts w:ascii="宋体" w:hAnsi="宋体"/>
          <w:sz w:val="20"/>
          <w:szCs w:val="20"/>
        </w:rPr>
      </w:pPr>
      <w:r>
        <w:rPr>
          <w:rFonts w:hint="eastAsia" w:ascii="宋体" w:hAnsi="宋体"/>
          <w:szCs w:val="21"/>
        </w:rPr>
        <w:t>2、服务方案缺项则该项得0分。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MTg2ZDliYjI0YTAwNDMzZDIzNjg3YzRkMTQxNmUifQ=="/>
  </w:docVars>
  <w:rsids>
    <w:rsidRoot w:val="6FA27F56"/>
    <w:rsid w:val="6FA2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2024-05-30T08:46:00Z</dcterms:created>
  <dc:creator>sun </dc:creator>
  <cp:lastModifiedBy>sun </cp:lastModifiedBy>
  <dcterms:modified xsi:type="dcterms:W3CDTF">2024-05-30T08:47:33Z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2B9D7DB3D4C74F629C0905D0CB80C22E_11</vt:lpwstr>
  </property>
</Properties>
</file>