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1" w:rsidRDefault="00184681" w:rsidP="00184681">
      <w:pPr>
        <w:pStyle w:val="21"/>
        <w:pageBreakBefore/>
        <w:snapToGrid w:val="0"/>
        <w:spacing w:after="0" w:line="360" w:lineRule="auto"/>
        <w:ind w:left="0" w:firstLine="0"/>
        <w:rPr>
          <w:szCs w:val="21"/>
        </w:rPr>
      </w:pPr>
      <w:r>
        <w:rPr>
          <w:rFonts w:ascii="宋体" w:hAnsi="宋体" w:cs="宋体" w:hint="eastAsia"/>
          <w:b/>
          <w:szCs w:val="21"/>
        </w:rPr>
        <w:t>附件2：评标办法前附表</w:t>
      </w:r>
    </w:p>
    <w:p w:rsidR="00184681" w:rsidRDefault="00184681" w:rsidP="00184681">
      <w:pPr>
        <w:snapToGrid w:val="0"/>
        <w:spacing w:line="360" w:lineRule="auto"/>
        <w:rPr>
          <w:rFonts w:ascii="宋体" w:hAnsi="宋体" w:cs="宋体" w:hint="eastAsia"/>
          <w:b/>
          <w:sz w:val="21"/>
          <w:szCs w:val="21"/>
        </w:rPr>
      </w:pPr>
      <w:bookmarkStart w:id="0" w:name="__RefHeading___Toc22300259"/>
      <w:bookmarkEnd w:id="0"/>
      <w:r>
        <w:rPr>
          <w:rFonts w:ascii="宋体" w:hAnsi="宋体" w:hint="eastAsia"/>
          <w:b/>
          <w:sz w:val="21"/>
          <w:szCs w:val="21"/>
        </w:rPr>
        <w:t>评标办法</w:t>
      </w:r>
      <w:r>
        <w:rPr>
          <w:rFonts w:ascii="宋体" w:hAnsi="宋体" w:cs="宋体" w:hint="eastAsia"/>
          <w:b/>
          <w:sz w:val="21"/>
          <w:szCs w:val="21"/>
        </w:rPr>
        <w:t>前附表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43"/>
        <w:gridCol w:w="1317"/>
        <w:gridCol w:w="7197"/>
      </w:tblGrid>
      <w:tr w:rsidR="00184681" w:rsidTr="002804A6">
        <w:trPr>
          <w:trHeight w:val="219"/>
          <w:tblHeader/>
          <w:jc w:val="center"/>
        </w:trPr>
        <w:tc>
          <w:tcPr>
            <w:tcW w:w="2460" w:type="dxa"/>
            <w:gridSpan w:val="2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条款号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评审因素与标准</w:t>
            </w:r>
          </w:p>
        </w:tc>
      </w:tr>
      <w:tr w:rsidR="00184681" w:rsidTr="002804A6">
        <w:trPr>
          <w:trHeight w:val="1677"/>
          <w:jc w:val="center"/>
        </w:trPr>
        <w:tc>
          <w:tcPr>
            <w:tcW w:w="1143" w:type="dxa"/>
            <w:vAlign w:val="center"/>
          </w:tcPr>
          <w:p w:rsidR="00184681" w:rsidRDefault="00184681" w:rsidP="002804A6">
            <w:pPr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317" w:type="dxa"/>
            <w:vAlign w:val="center"/>
          </w:tcPr>
          <w:p w:rsidR="00184681" w:rsidRDefault="00184681" w:rsidP="002804A6">
            <w:pPr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评标办法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ind w:firstLineChars="200" w:firstLine="4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本次评标采用技术评分最低标价法，双信封形式。</w:t>
            </w:r>
          </w:p>
          <w:p w:rsidR="00184681" w:rsidRDefault="00184681" w:rsidP="002804A6">
            <w:pPr>
              <w:adjustRightInd w:val="0"/>
              <w:snapToGrid w:val="0"/>
              <w:spacing w:line="320" w:lineRule="exact"/>
              <w:ind w:firstLineChars="200" w:firstLine="4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委员会对满足招标文件实质性要求的投标文件，按照本章第2.2款规定的评分标准进行打分，当投标单位数量大于等于10家时，按商务和技术得分由高到低顺序确定前5名投标人进入第二个信封评审；当投标单位数量小于10家时，按商务和技术得分由高到低顺序确定前3名投标人进入第二个信封评审；若商务和技术得分相同，则比较第一信封技术得分，得分高的优先；若第一信封技术得分相同，则比较业绩累计金额，累计金额高的优先。未通过第一信封评审和商务和技术得分未进入前5名或前3名的投标人，其第二信封不予开封。</w:t>
            </w:r>
          </w:p>
          <w:p w:rsidR="00184681" w:rsidRDefault="00184681" w:rsidP="002804A6">
            <w:pPr>
              <w:adjustRightInd w:val="0"/>
              <w:snapToGrid w:val="0"/>
              <w:spacing w:line="320" w:lineRule="exact"/>
              <w:ind w:firstLineChars="200" w:firstLine="4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当通过第一信封评审的投标人少于3名时，评标委员会可以否决全部投标；未否决全部投标的，评标委员会应当在评标报告中阐明理由并推荐中标候选人。</w:t>
            </w:r>
          </w:p>
          <w:p w:rsidR="00184681" w:rsidRDefault="00184681" w:rsidP="002804A6">
            <w:pPr>
              <w:adjustRightInd w:val="0"/>
              <w:snapToGrid w:val="0"/>
              <w:spacing w:line="320" w:lineRule="exact"/>
              <w:ind w:firstLineChars="200" w:firstLine="40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评标委员会按第二信封经评审的评标价由低到高的顺序，向招标人推荐1-3名中标候选人。评标价相等时，则比较</w:t>
            </w:r>
            <w:r>
              <w:rPr>
                <w:rFonts w:ascii="宋体" w:hAnsi="宋体" w:hint="eastAsia"/>
              </w:rPr>
              <w:t>商务和技术得分</w:t>
            </w:r>
            <w:r>
              <w:rPr>
                <w:rFonts w:ascii="宋体" w:hAnsi="宋体" w:hint="eastAsia"/>
                <w:szCs w:val="21"/>
              </w:rPr>
              <w:t>，得分高的优先；若商务和技术得分相同，则比较第一信封技术得分，得分高的优先；若第一信封技术得分相同，则比较业绩累计金额，累计金额高的优先。</w:t>
            </w:r>
          </w:p>
        </w:tc>
      </w:tr>
      <w:tr w:rsidR="00184681" w:rsidTr="002804A6">
        <w:trPr>
          <w:trHeight w:val="420"/>
          <w:jc w:val="center"/>
        </w:trPr>
        <w:tc>
          <w:tcPr>
            <w:tcW w:w="1143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2.1.1</w:t>
            </w:r>
          </w:p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2.1.3</w:t>
            </w:r>
          </w:p>
        </w:tc>
        <w:tc>
          <w:tcPr>
            <w:tcW w:w="131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形式评审与响应性评审标准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第一个信封（商务及技术文件）评审标准：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）投标文件按照招标文件规定的格式、内容填写，字迹清晰可辨：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投标函按照招标文件规定填报了招标人名称、项目名称、补遗书编号（如有）、交货及安装期、质保期；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投标文件组成齐全完整，内容均按规定填写；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）投标文件上法定代表人或其委托代理人的签字、投标人的单位章盖章齐全，符合招标文件规定：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）投标人按照招标文件的规定提供了投标保证金：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投标保证金金额符合招标文件规定的金额，且投标保证金有效期不少于投标有效期；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若投标保证金采用电汇或转账形式提交，投标人应在递交投标文件截止时间之前，将投标保证金由投标人的基本账户转入招标人指定账户；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若投标保证金采用银行保函形式提交，银行保函的格式、开具保函的银行均满足招标文件要求，且在递交投标文件截止时间之前向招标人提交了银行保函原件。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）投标人法定代表人授权委托代理人签署投标文件的，须提交授权委托书，授权委托书的签字盖章符合招标文件规定。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）投标人法定代表人亲自签署投标文件的，提供了法定代表人身份证明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法定代表人身份证明的签字盖章符合招标文件规定。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）投标人未以联合体形式投标。</w:t>
            </w:r>
          </w:p>
          <w:p w:rsidR="00184681" w:rsidRDefault="00184681" w:rsidP="002804A6">
            <w:pPr>
              <w:snapToGrid w:val="0"/>
              <w:spacing w:line="320" w:lineRule="exact"/>
              <w:ind w:right="113"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）投标人未对本项目进行分包。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）同一投标人未提交两个以上不同的投标文件。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）投标文件中未出现有关投标报价的内容。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）投标文件载明的招标项目完成期限未超过招标文件规定的时限。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）投标文件对招标文件的实质性要求和条件作出响应。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）权利义务符合招标文件规定：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．投标人应接受招标文件规定的风险划分原则，未提出新的风险划分办法；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．投标人未增加发包人的责任范围，或减少投标人义务；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．投标人未提出不同的工程验收、计量、支付办法；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．投标人对合同纠纷、事故处理办法未提出异议；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．投标人在投标活动中无欺诈行为；</w:t>
            </w:r>
            <w:r>
              <w:rPr>
                <w:rFonts w:hint="eastAsia"/>
              </w:rPr>
              <w:t xml:space="preserve">  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．投标人未对合同条款有重要保留。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  <w:r>
              <w:t>投标设备及技术服务符合第五章</w:t>
            </w:r>
            <w:r>
              <w:t>“</w:t>
            </w:r>
            <w:r>
              <w:t>供货要求</w:t>
            </w:r>
            <w:r>
              <w:t>”</w:t>
            </w:r>
            <w:r>
              <w:t>的实质性要求和条件</w:t>
            </w:r>
            <w:r>
              <w:rPr>
                <w:rFonts w:hint="eastAsia"/>
              </w:rPr>
              <w:t>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第二个信封（报价文件）评审标准：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）投标文件按照招标文件规定的格式、内容填写，字迹清晰可辨：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投标函按照招标文件规定填报了招标人名称、项目名称、补遗书编号（如有）、投标价（包括大写金额和小写金额）；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已标价工程量清单说明文字与招标文件规定一致，未进行实质性修改和删减；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投标文件组成齐全完整，内容均按规定填写。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）投标文件上法定代表人或委托代理人的签字、投标人的单位章盖章齐全，符合招标文件规定。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）投标报价未超过招标文件设定的最高限价。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）投标报价的大写金额能够确定具体数值。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）同一投标人未提交两个以上不同的投标报价。</w:t>
            </w:r>
          </w:p>
        </w:tc>
      </w:tr>
      <w:tr w:rsidR="00184681" w:rsidTr="002804A6">
        <w:trPr>
          <w:trHeight w:val="2548"/>
          <w:jc w:val="center"/>
        </w:trPr>
        <w:tc>
          <w:tcPr>
            <w:tcW w:w="1143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2.1.2</w:t>
            </w:r>
          </w:p>
        </w:tc>
        <w:tc>
          <w:tcPr>
            <w:tcW w:w="131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资格评审标准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snapToGrid w:val="0"/>
              <w:spacing w:line="32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（1）投标人具备有效的企业营业执照、组织机构代码证（三证合一或五证合一的除外）和基本账户开户许可证（或基本存款账户信息）；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（2）投标人的资质情况符合招标文件规定；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（3）投标人的类似项目业绩符合招标文件规定；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（4）投标人的信誉符合招标文件规定；</w:t>
            </w:r>
          </w:p>
          <w:p w:rsidR="00184681" w:rsidRDefault="00184681" w:rsidP="002804A6">
            <w:pPr>
              <w:snapToGrid w:val="0"/>
              <w:spacing w:line="32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（5）投标人不存在第二章“投标人须知”第1.4.3项规定的任何一种情形。</w:t>
            </w:r>
          </w:p>
        </w:tc>
      </w:tr>
      <w:tr w:rsidR="00184681" w:rsidTr="002804A6">
        <w:trPr>
          <w:trHeight w:val="340"/>
          <w:jc w:val="center"/>
        </w:trPr>
        <w:tc>
          <w:tcPr>
            <w:tcW w:w="1143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条款号</w:t>
            </w:r>
          </w:p>
        </w:tc>
        <w:tc>
          <w:tcPr>
            <w:tcW w:w="131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条款内容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编列内容</w:t>
            </w:r>
          </w:p>
        </w:tc>
      </w:tr>
      <w:tr w:rsidR="00184681" w:rsidTr="002804A6">
        <w:trPr>
          <w:trHeight w:val="642"/>
          <w:jc w:val="center"/>
        </w:trPr>
        <w:tc>
          <w:tcPr>
            <w:tcW w:w="1143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2.2.1</w:t>
            </w:r>
          </w:p>
        </w:tc>
        <w:tc>
          <w:tcPr>
            <w:tcW w:w="131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分值构成</w:t>
            </w:r>
          </w:p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（总分100分）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商务部分：40分</w:t>
            </w:r>
          </w:p>
          <w:p w:rsidR="00184681" w:rsidRDefault="00184681" w:rsidP="002804A6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技术部分：60分</w:t>
            </w:r>
          </w:p>
          <w:p w:rsidR="00184681" w:rsidRDefault="00184681" w:rsidP="002804A6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其他评分因素：0分</w:t>
            </w:r>
          </w:p>
        </w:tc>
      </w:tr>
      <w:tr w:rsidR="00184681" w:rsidTr="002804A6">
        <w:trPr>
          <w:trHeight w:val="662"/>
          <w:jc w:val="center"/>
        </w:trPr>
        <w:tc>
          <w:tcPr>
            <w:tcW w:w="1143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2.2.3</w:t>
            </w:r>
          </w:p>
        </w:tc>
        <w:tc>
          <w:tcPr>
            <w:tcW w:w="131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第二个信封详细评审标准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评标价计算公式：</w:t>
            </w:r>
          </w:p>
          <w:p w:rsidR="00184681" w:rsidRDefault="00184681" w:rsidP="002804A6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评标价=投标函文字报价</w:t>
            </w:r>
          </w:p>
        </w:tc>
      </w:tr>
      <w:tr w:rsidR="00184681" w:rsidTr="002804A6">
        <w:trPr>
          <w:trHeight w:val="90"/>
          <w:jc w:val="center"/>
        </w:trPr>
        <w:tc>
          <w:tcPr>
            <w:tcW w:w="1143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3.2.4</w:t>
            </w:r>
          </w:p>
        </w:tc>
        <w:tc>
          <w:tcPr>
            <w:tcW w:w="131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通过第一个信封详细评审的投标人数量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当投标单位数量大于等于10家时，按商务和技术得分由高到低顺序选择前5名通过详细评审；当投标单位数量小于10家时，按商务和技术得分由高到低顺序确定前3名通过详细评审；</w:t>
            </w:r>
          </w:p>
        </w:tc>
      </w:tr>
      <w:tr w:rsidR="00184681" w:rsidTr="002804A6">
        <w:trPr>
          <w:trHeight w:val="662"/>
          <w:jc w:val="center"/>
        </w:trPr>
        <w:tc>
          <w:tcPr>
            <w:tcW w:w="1143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3.6.1</w:t>
            </w:r>
          </w:p>
        </w:tc>
        <w:tc>
          <w:tcPr>
            <w:tcW w:w="1317" w:type="dxa"/>
            <w:vAlign w:val="center"/>
          </w:tcPr>
          <w:p w:rsidR="00184681" w:rsidRDefault="00184681" w:rsidP="002804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信息查询</w:t>
            </w:r>
          </w:p>
        </w:tc>
        <w:tc>
          <w:tcPr>
            <w:tcW w:w="7197" w:type="dxa"/>
            <w:vAlign w:val="center"/>
          </w:tcPr>
          <w:p w:rsidR="00184681" w:rsidRDefault="00184681" w:rsidP="002804A6">
            <w:pPr>
              <w:widowControl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修改为：</w:t>
            </w:r>
          </w:p>
          <w:p w:rsidR="00184681" w:rsidRDefault="00184681" w:rsidP="002804A6">
            <w:pPr>
              <w:widowControl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在评标过程中，评标委员会应对以下信息进行查询：</w:t>
            </w:r>
          </w:p>
          <w:p w:rsidR="00184681" w:rsidRDefault="00184681" w:rsidP="002804A6">
            <w:pPr>
              <w:widowControl w:val="0"/>
              <w:snapToGrid w:val="0"/>
              <w:spacing w:line="32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评标委员会评标时在“国家企业信用信息公示系统”和“信用中国”网站对投标人的信用情况进行查询，若投标人存在“国家企业信用信息公示系统” 被列入严重违法失信企业名单（不含分公司）或在“信用中国”网站“被列入失信被执行人名单、异常经营名录、税收违法黑名单、政府采</w:t>
            </w:r>
          </w:p>
          <w:p w:rsidR="00184681" w:rsidRDefault="00184681" w:rsidP="002804A6">
            <w:pPr>
              <w:widowControl w:val="0"/>
              <w:snapToGrid w:val="0"/>
              <w:spacing w:line="32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购严重违法失信名单”情形的（均不含分公司），评标委员会应否决其投标。</w:t>
            </w:r>
          </w:p>
          <w:p w:rsidR="00184681" w:rsidRDefault="00184681" w:rsidP="002804A6">
            <w:pPr>
              <w:widowControl w:val="0"/>
              <w:snapToGrid w:val="0"/>
              <w:spacing w:line="32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如投标人未提供相关网页截图或所附截图与核查结果不一致，评标委员会应否决其投标。</w:t>
            </w:r>
          </w:p>
        </w:tc>
      </w:tr>
    </w:tbl>
    <w:p w:rsidR="00184681" w:rsidRDefault="00184681" w:rsidP="00184681">
      <w:pPr>
        <w:rPr>
          <w:rFonts w:ascii="宋体" w:hAnsi="宋体" w:cs="宋体" w:hint="eastAsia"/>
          <w:sz w:val="21"/>
          <w:szCs w:val="21"/>
          <w:lang/>
        </w:rPr>
      </w:pPr>
      <w:r>
        <w:rPr>
          <w:rFonts w:hint="eastAsia"/>
        </w:rPr>
        <w:br w:type="page"/>
      </w:r>
      <w:r>
        <w:rPr>
          <w:rFonts w:ascii="宋体" w:hAnsi="宋体" w:cs="宋体" w:hint="eastAsia"/>
          <w:sz w:val="21"/>
          <w:szCs w:val="21"/>
          <w:lang/>
        </w:rPr>
        <w:lastRenderedPageBreak/>
        <w:t>具体评分标准如下：</w:t>
      </w:r>
    </w:p>
    <w:tbl>
      <w:tblPr>
        <w:tblW w:w="934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123"/>
        <w:gridCol w:w="1724"/>
        <w:gridCol w:w="5598"/>
      </w:tblGrid>
      <w:tr w:rsidR="00184681" w:rsidTr="002804A6">
        <w:trPr>
          <w:trHeight w:val="20"/>
          <w:jc w:val="center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条款号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评分因素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评分标准</w:t>
            </w:r>
          </w:p>
        </w:tc>
      </w:tr>
      <w:tr w:rsidR="00184681" w:rsidTr="002804A6">
        <w:trPr>
          <w:trHeight w:val="105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2.2.4（1）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商务</w:t>
            </w:r>
            <w:r>
              <w:rPr>
                <w:rFonts w:ascii="宋体" w:hAnsi="宋体" w:cs="宋体" w:hint="eastAsia"/>
                <w:spacing w:val="-2"/>
                <w:sz w:val="21"/>
                <w:szCs w:val="21"/>
              </w:rPr>
              <w:t>评</w:t>
            </w:r>
            <w:r>
              <w:rPr>
                <w:rFonts w:ascii="宋体" w:hAnsi="宋体" w:cs="宋体" w:hint="eastAsia"/>
                <w:sz w:val="21"/>
                <w:szCs w:val="21"/>
              </w:rPr>
              <w:t>分标准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投标业绩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（40分）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满足投标人须知附录2资格审查条件（业绩最低条件）得24分；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每增加一项符合附录2资格审查条件（业绩最低条件）的业绩，得8分，最高40分。</w:t>
            </w:r>
          </w:p>
        </w:tc>
      </w:tr>
      <w:tr w:rsidR="00184681" w:rsidTr="002804A6">
        <w:trPr>
          <w:trHeight w:val="93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2.2.4（2）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技术</w:t>
            </w:r>
            <w:r>
              <w:rPr>
                <w:rFonts w:ascii="宋体" w:hAnsi="宋体" w:cs="宋体" w:hint="eastAsia"/>
                <w:spacing w:val="-2"/>
                <w:sz w:val="21"/>
                <w:szCs w:val="21"/>
              </w:rPr>
              <w:t>评</w:t>
            </w:r>
            <w:r>
              <w:rPr>
                <w:rFonts w:ascii="宋体" w:hAnsi="宋体" w:cs="宋体" w:hint="eastAsia"/>
                <w:sz w:val="21"/>
                <w:szCs w:val="21"/>
              </w:rPr>
              <w:t>分标准（60分）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出版社合作情况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（20分）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有全面畅通的供货渠道，长期合作的出版社。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其中：20 家及以上，得20分；15-19 家，得16分；14 家及以下，得12分。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注：以与出版社合作授权书或合同均以扫描件形式附至投标文件中，否则该项不记分。</w:t>
            </w:r>
          </w:p>
        </w:tc>
      </w:tr>
      <w:tr w:rsidR="00184681" w:rsidTr="002804A6">
        <w:trPr>
          <w:trHeight w:val="934"/>
          <w:jc w:val="center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现采场地情况（20分）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具有独立现采基地1000（含）平方米以上的得20分；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具有独立现采基地500（含）-1000（不含）平方米的得16分；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具有独立现采基地300（含）-500平方（不含）米以下的得12分；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注：投标人须提供租赁合同或产权证明的原件扫描件，并加盖投标投标人公章，否则不予认定。</w:t>
            </w:r>
          </w:p>
        </w:tc>
      </w:tr>
      <w:tr w:rsidR="00184681" w:rsidTr="002804A6">
        <w:trPr>
          <w:trHeight w:val="3715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供货方案及各类保证措施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（20分）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书订单发订、过程跟踪、质量检查、送货、退换货、查漏补缺、正版保证等流程中所能提供的服务方案有力、合理，服务保障措施完善、全面，对临时性紧急性供货要求响应迅速，执行力强，有完整的售后服务体系和质量保证措施，得16-20分；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图书订单发订、过程跟踪、质量检查、送货、退换货、查漏补缺、正版保证等流程中所能提供的服务方案较好，服务保障措施较全面，有较好的售后服务体系和质量保证措施，得12-16分；</w:t>
            </w: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图书订单发订、过程跟踪、质量检查、送货、退换货、查漏补缺、正版保证等流程中所能提供的服务方案一般，服务保障措施较一般，售后服务体系和质量保证措施一般，得12分；</w:t>
            </w:r>
          </w:p>
          <w:p w:rsidR="00184681" w:rsidRDefault="00184681" w:rsidP="002804A6">
            <w:pPr>
              <w:pStyle w:val="2"/>
              <w:ind w:left="400"/>
            </w:pPr>
          </w:p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缺项不得分。</w:t>
            </w:r>
          </w:p>
        </w:tc>
      </w:tr>
      <w:tr w:rsidR="00184681" w:rsidTr="002804A6">
        <w:trPr>
          <w:trHeight w:val="2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2.2.4（4）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</w:t>
            </w:r>
            <w:r>
              <w:rPr>
                <w:rFonts w:ascii="宋体" w:hAnsi="宋体" w:cs="宋体" w:hint="eastAsia"/>
                <w:spacing w:val="-2"/>
                <w:sz w:val="21"/>
                <w:szCs w:val="21"/>
              </w:rPr>
              <w:t>因</w:t>
            </w:r>
            <w:r>
              <w:rPr>
                <w:rFonts w:ascii="宋体" w:hAnsi="宋体" w:cs="宋体" w:hint="eastAsia"/>
                <w:sz w:val="21"/>
                <w:szCs w:val="21"/>
              </w:rPr>
              <w:t>素评分</w:t>
            </w:r>
            <w:r>
              <w:rPr>
                <w:rFonts w:ascii="宋体" w:hAnsi="宋体" w:cs="宋体" w:hint="eastAsia"/>
                <w:spacing w:val="-2"/>
                <w:sz w:val="21"/>
                <w:szCs w:val="21"/>
              </w:rPr>
              <w:t>标</w:t>
            </w:r>
            <w:r>
              <w:rPr>
                <w:rFonts w:ascii="宋体" w:hAnsi="宋体" w:cs="宋体" w:hint="eastAsia"/>
                <w:sz w:val="21"/>
                <w:szCs w:val="21"/>
              </w:rPr>
              <w:t>准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681" w:rsidRDefault="00184681" w:rsidP="002804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</w:t>
            </w:r>
          </w:p>
        </w:tc>
      </w:tr>
    </w:tbl>
    <w:p w:rsidR="00184681" w:rsidRDefault="00184681" w:rsidP="00184681">
      <w:pPr>
        <w:pStyle w:val="2"/>
        <w:ind w:left="400"/>
        <w:rPr>
          <w:rFonts w:hint="eastAsia"/>
        </w:rPr>
      </w:pPr>
    </w:p>
    <w:p w:rsidR="00184681" w:rsidRDefault="00184681" w:rsidP="00184681">
      <w:pPr>
        <w:snapToGrid w:val="0"/>
        <w:spacing w:line="320" w:lineRule="exac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注：1、各评分因素得分应以评标委员会各成员的打分平均值确定，投标人的得分保留两位小数。</w:t>
      </w:r>
    </w:p>
    <w:p w:rsidR="00184681" w:rsidRDefault="00184681" w:rsidP="00184681">
      <w:pPr>
        <w:pStyle w:val="2"/>
        <w:snapToGrid w:val="0"/>
        <w:spacing w:after="0" w:line="320" w:lineRule="exact"/>
        <w:ind w:leftChars="0" w:left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szCs w:val="21"/>
        </w:rPr>
        <w:t>2、</w:t>
      </w:r>
      <w:r>
        <w:rPr>
          <w:rFonts w:ascii="宋体" w:hAnsi="宋体" w:cs="宋体" w:hint="eastAsia"/>
          <w:kern w:val="0"/>
          <w:szCs w:val="21"/>
        </w:rPr>
        <w:t>技术</w:t>
      </w:r>
      <w:r>
        <w:rPr>
          <w:rFonts w:ascii="宋体" w:hAnsi="宋体" w:cs="宋体" w:hint="eastAsia"/>
          <w:spacing w:val="-2"/>
          <w:kern w:val="0"/>
          <w:szCs w:val="21"/>
        </w:rPr>
        <w:t>评</w:t>
      </w:r>
      <w:r>
        <w:rPr>
          <w:rFonts w:ascii="宋体" w:hAnsi="宋体" w:cs="宋体" w:hint="eastAsia"/>
          <w:kern w:val="0"/>
          <w:szCs w:val="21"/>
        </w:rPr>
        <w:t>分</w:t>
      </w:r>
      <w:r>
        <w:rPr>
          <w:rFonts w:ascii="宋体" w:hAnsi="宋体" w:cs="宋体" w:hint="eastAsia"/>
          <w:szCs w:val="21"/>
        </w:rPr>
        <w:t>评审项各评分因素缺项得 0 分。</w:t>
      </w:r>
    </w:p>
    <w:p w:rsidR="00184681" w:rsidRDefault="00184681" w:rsidP="00184681">
      <w:pPr>
        <w:pStyle w:val="20"/>
        <w:rPr>
          <w:rFonts w:hint="eastAsia"/>
        </w:rPr>
      </w:pPr>
    </w:p>
    <w:p w:rsidR="00C945CE" w:rsidRPr="00184681" w:rsidRDefault="00C945CE"/>
    <w:sectPr w:rsidR="00C945CE" w:rsidRPr="00184681">
      <w:headerReference w:type="default" r:id="rId6"/>
      <w:footerReference w:type="default" r:id="rId7"/>
      <w:footnotePr>
        <w:pos w:val="beneathText"/>
      </w:footnotePr>
      <w:pgSz w:w="12240" w:h="15840"/>
      <w:pgMar w:top="1434" w:right="1451" w:bottom="1429" w:left="146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CE" w:rsidRDefault="00C945CE" w:rsidP="00184681">
      <w:r>
        <w:separator/>
      </w:r>
    </w:p>
  </w:endnote>
  <w:endnote w:type="continuationSeparator" w:id="1">
    <w:p w:rsidR="00C945CE" w:rsidRDefault="00C945CE" w:rsidP="0018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45C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C945CE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84681" w:rsidRPr="00184681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CE" w:rsidRDefault="00C945CE" w:rsidP="00184681">
      <w:r>
        <w:separator/>
      </w:r>
    </w:p>
  </w:footnote>
  <w:footnote w:type="continuationSeparator" w:id="1">
    <w:p w:rsidR="00C945CE" w:rsidRDefault="00C945CE" w:rsidP="00184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45CE">
    <w:pPr>
      <w:pStyle w:val="a3"/>
      <w:jc w:val="both"/>
      <w:rPr>
        <w:rFonts w:ascii="宋体" w:hAnsi="宋体" w:cs="宋体" w:hint="eastAsia"/>
        <w:sz w:val="21"/>
        <w:szCs w:val="21"/>
      </w:rPr>
    </w:pPr>
    <w:r>
      <w:rPr>
        <w:rFonts w:ascii="宋体" w:hAnsi="宋体" w:cs="宋体" w:hint="eastAsia"/>
        <w:szCs w:val="15"/>
      </w:rPr>
      <w:t>河北高速集团有限公司石安分公司</w:t>
    </w:r>
    <w:r>
      <w:rPr>
        <w:rFonts w:ascii="宋体" w:hAnsi="宋体" w:cs="宋体" w:hint="eastAsia"/>
        <w:szCs w:val="15"/>
      </w:rPr>
      <w:t>2024</w:t>
    </w:r>
    <w:r>
      <w:rPr>
        <w:rFonts w:ascii="宋体" w:hAnsi="宋体" w:cs="宋体" w:hint="eastAsia"/>
        <w:szCs w:val="15"/>
      </w:rPr>
      <w:t>年图书采购项目</w:t>
    </w:r>
    <w:r>
      <w:rPr>
        <w:rFonts w:ascii="宋体" w:hAnsi="宋体" w:cs="宋体" w:hint="eastAsia"/>
        <w:sz w:val="21"/>
        <w:szCs w:val="21"/>
      </w:rPr>
      <w:t xml:space="preserve">                                     </w:t>
    </w:r>
    <w:r>
      <w:rPr>
        <w:rFonts w:ascii="宋体" w:hAnsi="宋体" w:cs="宋体" w:hint="eastAsia"/>
      </w:rPr>
      <w:t>招标文件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681"/>
    <w:rsid w:val="00184681"/>
    <w:rsid w:val="00C9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iPriority w:val="7"/>
    <w:qFormat/>
    <w:rsid w:val="00184681"/>
    <w:rPr>
      <w:rFonts w:ascii="Times New Roman" w:eastAsia="宋体" w:hAnsi="Times New Roman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46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681"/>
    <w:rPr>
      <w:sz w:val="18"/>
      <w:szCs w:val="18"/>
    </w:rPr>
  </w:style>
  <w:style w:type="paragraph" w:styleId="a4">
    <w:name w:val="footer"/>
    <w:basedOn w:val="a"/>
    <w:link w:val="Char0"/>
    <w:unhideWhenUsed/>
    <w:rsid w:val="0018468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68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8468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84681"/>
    <w:rPr>
      <w:rFonts w:ascii="Times New Roman" w:eastAsia="宋体" w:hAnsi="Times New Roman" w:cs="Arial"/>
      <w:kern w:val="0"/>
      <w:sz w:val="20"/>
      <w:szCs w:val="20"/>
    </w:rPr>
  </w:style>
  <w:style w:type="paragraph" w:styleId="2">
    <w:name w:val="Body Text First Indent 2"/>
    <w:basedOn w:val="a5"/>
    <w:next w:val="a"/>
    <w:link w:val="2Char"/>
    <w:qFormat/>
    <w:rsid w:val="00184681"/>
    <w:pPr>
      <w:widowControl w:val="0"/>
      <w:ind w:firstLineChars="200" w:firstLine="420"/>
      <w:jc w:val="both"/>
    </w:pPr>
    <w:rPr>
      <w:rFonts w:cs="Times New Roman"/>
      <w:kern w:val="2"/>
      <w:sz w:val="21"/>
      <w:szCs w:val="24"/>
    </w:rPr>
  </w:style>
  <w:style w:type="character" w:customStyle="1" w:styleId="2Char">
    <w:name w:val="正文首行缩进 2 Char"/>
    <w:basedOn w:val="Char1"/>
    <w:link w:val="2"/>
    <w:rsid w:val="00184681"/>
    <w:rPr>
      <w:rFonts w:cs="Times New Roman"/>
      <w:szCs w:val="24"/>
    </w:rPr>
  </w:style>
  <w:style w:type="paragraph" w:styleId="20">
    <w:name w:val="Body Text 2"/>
    <w:basedOn w:val="a"/>
    <w:link w:val="2Char0"/>
    <w:qFormat/>
    <w:rsid w:val="00184681"/>
    <w:rPr>
      <w:sz w:val="28"/>
    </w:rPr>
  </w:style>
  <w:style w:type="character" w:customStyle="1" w:styleId="2Char0">
    <w:name w:val="正文文本 2 Char"/>
    <w:basedOn w:val="a0"/>
    <w:link w:val="20"/>
    <w:rsid w:val="00184681"/>
    <w:rPr>
      <w:rFonts w:ascii="Times New Roman" w:eastAsia="宋体" w:hAnsi="Times New Roman" w:cs="Arial"/>
      <w:kern w:val="0"/>
      <w:sz w:val="28"/>
      <w:szCs w:val="20"/>
    </w:rPr>
  </w:style>
  <w:style w:type="paragraph" w:customStyle="1" w:styleId="21">
    <w:name w:val="正文首行缩进 21"/>
    <w:basedOn w:val="a"/>
    <w:rsid w:val="00184681"/>
    <w:pPr>
      <w:widowControl w:val="0"/>
      <w:spacing w:after="120"/>
      <w:ind w:left="420" w:firstLine="420"/>
      <w:jc w:val="both"/>
    </w:pPr>
    <w:rPr>
      <w:rFonts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2623</Characters>
  <Application>Microsoft Office Word</Application>
  <DocSecurity>0</DocSecurity>
  <Lines>21</Lines>
  <Paragraphs>6</Paragraphs>
  <ScaleCrop>false</ScaleCrop>
  <Company>微软中国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王兴华</dc:creator>
  <cp:lastModifiedBy>王兴华</cp:lastModifiedBy>
  <cp:revision>2</cp:revision>
  <dcterms:created xsi:type="dcterms:W3CDTF">2024-05-08T03:07:00Z</dcterms:created>
  <dcterms:modified xsi:type="dcterms:W3CDTF">2024-05-08T03:07:00Z</dcterms:modified>
</cp:coreProperties>
</file>