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20" w:after="120" w:line="240" w:lineRule="auto"/>
        <w:rPr>
          <w:rFonts w:ascii="宋体" w:hAnsi="宋体"/>
          <w:sz w:val="24"/>
          <w:szCs w:val="24"/>
        </w:rPr>
      </w:pPr>
      <w:bookmarkStart w:id="0" w:name="_Toc513624013"/>
      <w:bookmarkStart w:id="1" w:name="_Hlk512198378"/>
      <w:r>
        <w:rPr>
          <w:rFonts w:hint="eastAsia" w:ascii="宋体" w:hAnsi="宋体"/>
          <w:sz w:val="24"/>
          <w:szCs w:val="24"/>
        </w:rPr>
        <w:t>附件</w:t>
      </w:r>
      <w:r>
        <w:rPr>
          <w:rFonts w:ascii="宋体" w:hAnsi="宋体"/>
          <w:sz w:val="24"/>
          <w:szCs w:val="24"/>
        </w:rPr>
        <w:t>1</w:t>
      </w:r>
      <w:r>
        <w:rPr>
          <w:rFonts w:hint="eastAsia" w:ascii="宋体" w:hAnsi="宋体"/>
          <w:sz w:val="24"/>
          <w:szCs w:val="24"/>
        </w:rPr>
        <w:t>：资格审查要求</w:t>
      </w:r>
      <w:bookmarkEnd w:id="0"/>
    </w:p>
    <w:p/>
    <w:bookmarkEnd w:id="1"/>
    <w:p>
      <w:pPr>
        <w:jc w:val="center"/>
        <w:rPr>
          <w:rFonts w:ascii="宋体" w:hAnsi="Times New Roman" w:cs="Times New Roman"/>
          <w:b/>
          <w:sz w:val="26"/>
          <w:szCs w:val="26"/>
        </w:rPr>
      </w:pPr>
      <w:bookmarkStart w:id="2" w:name="_Toc365441077"/>
      <w:r>
        <w:rPr>
          <w:rFonts w:hint="eastAsia" w:ascii="宋体" w:hAnsi="Times New Roman" w:cs="Times New Roman"/>
          <w:b/>
          <w:sz w:val="26"/>
          <w:szCs w:val="26"/>
        </w:rPr>
        <w:t>附录1  资格审查条件(资质最低条件)</w:t>
      </w:r>
    </w:p>
    <w:p>
      <w:pPr>
        <w:jc w:val="center"/>
        <w:rPr>
          <w:rFonts w:ascii="宋体" w:hAnsi="Times New Roman" w:cs="Times New Roman"/>
        </w:rPr>
      </w:pPr>
    </w:p>
    <w:tbl>
      <w:tblPr>
        <w:tblStyle w:val="4"/>
        <w:tblW w:w="905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057" w:type="dxa"/>
            <w:vAlign w:val="center"/>
          </w:tcPr>
          <w:p>
            <w:pPr>
              <w:adjustRightInd w:val="0"/>
              <w:snapToGrid w:val="0"/>
              <w:jc w:val="center"/>
              <w:rPr>
                <w:rFonts w:ascii="宋体" w:hAnsi="Times New Roman" w:cs="Times New Roman"/>
                <w:b/>
                <w:szCs w:val="21"/>
              </w:rPr>
            </w:pPr>
            <w:r>
              <w:rPr>
                <w:rFonts w:hint="eastAsia" w:ascii="宋体" w:hAnsi="Times New Roman" w:cs="Times New Roman"/>
                <w:b/>
                <w:szCs w:val="21"/>
              </w:rPr>
              <w:t>资质要求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7" w:hRule="atLeast"/>
          <w:jc w:val="center"/>
        </w:trPr>
        <w:tc>
          <w:tcPr>
            <w:tcW w:w="9057" w:type="dxa"/>
            <w:vAlign w:val="center"/>
          </w:tcPr>
          <w:p>
            <w:pPr>
              <w:ind w:firstLine="420" w:firstLineChars="200"/>
              <w:rPr>
                <w:rFonts w:ascii="宋体" w:hAnsi="Times New Roman" w:cs="Times New Roman"/>
                <w:szCs w:val="21"/>
              </w:rPr>
            </w:pPr>
            <w:r>
              <w:rPr>
                <w:rFonts w:hint="eastAsia" w:ascii="宋体" w:hAnsi="Times New Roman" w:cs="Times New Roman"/>
                <w:szCs w:val="21"/>
              </w:rPr>
              <w:t>具有独立企业法人资格，持有有效的企业营业执照；具备交通运输部颁发的公路工程机电专项监理资质。</w:t>
            </w:r>
          </w:p>
        </w:tc>
      </w:tr>
    </w:tbl>
    <w:p>
      <w:pPr>
        <w:rPr>
          <w:rFonts w:ascii="宋体" w:hAnsi="Times New Roman" w:cs="Times New Roman"/>
        </w:rPr>
      </w:pPr>
    </w:p>
    <w:p>
      <w:pPr>
        <w:rPr>
          <w:rFonts w:ascii="宋体" w:hAnsi="Times New Roman" w:cs="Times New Roman"/>
        </w:rPr>
      </w:pPr>
    </w:p>
    <w:p>
      <w:pPr>
        <w:jc w:val="center"/>
        <w:rPr>
          <w:rFonts w:ascii="宋体" w:hAnsi="Times New Roman" w:cs="Times New Roman"/>
          <w:b/>
          <w:sz w:val="26"/>
          <w:szCs w:val="26"/>
        </w:rPr>
      </w:pPr>
      <w:bookmarkStart w:id="3" w:name="_Toc365441079"/>
      <w:r>
        <w:rPr>
          <w:rFonts w:hint="eastAsia" w:ascii="宋体" w:hAnsi="Times New Roman" w:cs="Times New Roman"/>
          <w:b/>
          <w:sz w:val="26"/>
          <w:szCs w:val="26"/>
        </w:rPr>
        <w:t>附录</w:t>
      </w:r>
      <w:r>
        <w:rPr>
          <w:rFonts w:ascii="宋体" w:hAnsi="Times New Roman" w:cs="Times New Roman"/>
          <w:b/>
          <w:sz w:val="26"/>
          <w:szCs w:val="26"/>
        </w:rPr>
        <w:t>2</w:t>
      </w:r>
      <w:r>
        <w:rPr>
          <w:rFonts w:hint="eastAsia" w:ascii="宋体" w:hAnsi="Times New Roman" w:cs="Times New Roman"/>
          <w:b/>
          <w:sz w:val="26"/>
          <w:szCs w:val="26"/>
        </w:rPr>
        <w:t xml:space="preserve">  资格审查条件(业绩最低要求)</w:t>
      </w:r>
      <w:bookmarkEnd w:id="3"/>
    </w:p>
    <w:p>
      <w:pPr>
        <w:jc w:val="center"/>
        <w:rPr>
          <w:rFonts w:ascii="宋体" w:hAnsi="Times New Roman" w:cs="Times New Roman"/>
        </w:rPr>
      </w:pPr>
    </w:p>
    <w:tbl>
      <w:tblPr>
        <w:tblStyle w:val="4"/>
        <w:tblW w:w="484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27" w:type="dxa"/>
            <w:vAlign w:val="center"/>
          </w:tcPr>
          <w:p>
            <w:pPr>
              <w:snapToGrid w:val="0"/>
              <w:jc w:val="center"/>
              <w:rPr>
                <w:rFonts w:ascii="宋体" w:hAnsi="Times New Roman" w:cs="Times New Roman"/>
                <w:b/>
                <w:szCs w:val="21"/>
              </w:rPr>
            </w:pPr>
            <w:r>
              <w:rPr>
                <w:rFonts w:hint="eastAsia" w:ascii="宋体" w:hAnsi="Times New Roman" w:cs="Times New Roman"/>
                <w:b/>
                <w:szCs w:val="21"/>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6" w:hRule="exact"/>
          <w:jc w:val="center"/>
        </w:trPr>
        <w:tc>
          <w:tcPr>
            <w:tcW w:w="9127" w:type="dxa"/>
            <w:vAlign w:val="center"/>
          </w:tcPr>
          <w:p>
            <w:pPr>
              <w:snapToGrid w:val="0"/>
              <w:spacing w:line="360" w:lineRule="exact"/>
              <w:ind w:firstLine="420" w:firstLineChars="200"/>
              <w:rPr>
                <w:rFonts w:ascii="宋体" w:hAnsi="Times New Roman" w:cs="Times New Roman"/>
                <w:szCs w:val="21"/>
              </w:rPr>
            </w:pPr>
            <w:r>
              <w:rPr>
                <w:rFonts w:hint="eastAsia" w:ascii="宋体" w:hAnsi="Times New Roman" w:cs="Times New Roman"/>
                <w:szCs w:val="21"/>
              </w:rPr>
              <w:t>近5年</w:t>
            </w:r>
            <w:r>
              <w:rPr>
                <w:rFonts w:ascii="宋体" w:hAnsi="Times New Roman" w:cs="Times New Roman"/>
                <w:szCs w:val="21"/>
              </w:rPr>
              <w:t>（</w:t>
            </w:r>
            <w:r>
              <w:rPr>
                <w:rFonts w:hint="eastAsia" w:ascii="宋体" w:hAnsi="Times New Roman" w:cs="Times New Roman"/>
                <w:szCs w:val="21"/>
              </w:rPr>
              <w:t>2018年12月1日至投标截止时间，以交工时间为准</w:t>
            </w:r>
            <w:r>
              <w:rPr>
                <w:rFonts w:ascii="宋体" w:hAnsi="Times New Roman" w:cs="Times New Roman"/>
                <w:szCs w:val="21"/>
              </w:rPr>
              <w:t>）</w:t>
            </w:r>
            <w:r>
              <w:rPr>
                <w:rFonts w:hint="eastAsia" w:ascii="宋体" w:hAnsi="Times New Roman" w:cs="Times New Roman"/>
                <w:szCs w:val="21"/>
              </w:rPr>
              <w:t>至少</w:t>
            </w:r>
            <w:r>
              <w:rPr>
                <w:rFonts w:ascii="宋体" w:hAnsi="Times New Roman" w:cs="Times New Roman"/>
                <w:szCs w:val="21"/>
              </w:rPr>
              <w:t>完成</w:t>
            </w:r>
            <w:r>
              <w:rPr>
                <w:rFonts w:hint="eastAsia" w:ascii="宋体" w:hAnsi="Times New Roman" w:cs="Times New Roman"/>
                <w:szCs w:val="21"/>
              </w:rPr>
              <w:t>过1项高速公路（新建或改扩建或养护）机电工程施工监理业绩。</w:t>
            </w:r>
          </w:p>
        </w:tc>
      </w:tr>
    </w:tbl>
    <w:p>
      <w:pPr>
        <w:rPr>
          <w:rFonts w:ascii="宋体" w:hAnsi="Times New Roman" w:cs="Times New Roman"/>
        </w:rPr>
      </w:pPr>
    </w:p>
    <w:p>
      <w:pPr>
        <w:rPr>
          <w:rFonts w:ascii="宋体" w:hAnsi="Times New Roman" w:cs="Times New Roman"/>
        </w:rPr>
      </w:pPr>
    </w:p>
    <w:p>
      <w:pPr>
        <w:jc w:val="center"/>
        <w:rPr>
          <w:rFonts w:ascii="宋体" w:hAnsi="Times New Roman" w:cs="Times New Roman"/>
          <w:b/>
          <w:sz w:val="26"/>
          <w:szCs w:val="26"/>
        </w:rPr>
      </w:pPr>
      <w:bookmarkStart w:id="4" w:name="_Toc365441080"/>
      <w:r>
        <w:rPr>
          <w:rFonts w:hint="eastAsia" w:ascii="宋体" w:hAnsi="Times New Roman" w:cs="Times New Roman"/>
          <w:b/>
          <w:sz w:val="26"/>
          <w:szCs w:val="26"/>
        </w:rPr>
        <w:t>附录</w:t>
      </w:r>
      <w:r>
        <w:rPr>
          <w:rFonts w:ascii="宋体" w:hAnsi="Times New Roman" w:cs="Times New Roman"/>
          <w:b/>
          <w:sz w:val="26"/>
          <w:szCs w:val="26"/>
        </w:rPr>
        <w:t>3</w:t>
      </w:r>
      <w:r>
        <w:rPr>
          <w:rFonts w:hint="eastAsia" w:ascii="宋体" w:hAnsi="Times New Roman" w:cs="Times New Roman"/>
          <w:b/>
          <w:sz w:val="26"/>
          <w:szCs w:val="26"/>
        </w:rPr>
        <w:t xml:space="preserve">  资格审查条件(信誉最低要求)</w:t>
      </w:r>
      <w:bookmarkEnd w:id="4"/>
    </w:p>
    <w:p>
      <w:pPr>
        <w:jc w:val="center"/>
        <w:rPr>
          <w:rFonts w:ascii="宋体" w:hAnsi="Times New Roman" w:cs="Times New Roman"/>
        </w:rPr>
      </w:pPr>
    </w:p>
    <w:tbl>
      <w:tblPr>
        <w:tblStyle w:val="4"/>
        <w:tblW w:w="494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jc w:val="center"/>
        </w:trPr>
        <w:tc>
          <w:tcPr>
            <w:tcW w:w="9322" w:type="dxa"/>
            <w:vAlign w:val="center"/>
          </w:tcPr>
          <w:p>
            <w:pPr>
              <w:snapToGrid w:val="0"/>
              <w:jc w:val="center"/>
              <w:rPr>
                <w:rFonts w:ascii="宋体" w:hAnsi="Times New Roman" w:cs="Times New Roman"/>
                <w:b/>
                <w:szCs w:val="21"/>
              </w:rPr>
            </w:pPr>
            <w:r>
              <w:rPr>
                <w:rFonts w:hint="eastAsia" w:ascii="宋体" w:hAnsi="Times New Roman" w:cs="Times New Roman"/>
                <w:b/>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4" w:hRule="atLeast"/>
          <w:jc w:val="center"/>
        </w:trPr>
        <w:tc>
          <w:tcPr>
            <w:tcW w:w="9322" w:type="dxa"/>
            <w:vAlign w:val="center"/>
          </w:tcPr>
          <w:p>
            <w:pPr>
              <w:snapToGrid w:val="0"/>
              <w:spacing w:line="360" w:lineRule="exact"/>
              <w:ind w:firstLine="420" w:firstLineChars="200"/>
              <w:rPr>
                <w:rFonts w:ascii="宋体" w:hAnsi="Times New Roman" w:cs="Times New Roman"/>
                <w:szCs w:val="21"/>
              </w:rPr>
            </w:pPr>
            <w:r>
              <w:rPr>
                <w:rFonts w:hint="eastAsia" w:ascii="宋体" w:hAnsi="Times New Roman" w:cs="Times New Roman"/>
                <w:szCs w:val="21"/>
              </w:rPr>
              <w:t>投标人在近一年（2022年12月1日至投标截止时间）不曾在高速公路机电工程施工监理合同中违约而被驱逐或因投标人自身的原因而使高速公路机电工程施工监理合同被解除。</w:t>
            </w:r>
          </w:p>
        </w:tc>
      </w:tr>
    </w:tbl>
    <w:p>
      <w:pPr>
        <w:jc w:val="center"/>
        <w:outlineLvl w:val="2"/>
        <w:rPr>
          <w:rFonts w:ascii="宋体" w:hAnsi="Times New Roman" w:cs="Times New Roman"/>
          <w:b/>
          <w:szCs w:val="21"/>
        </w:rPr>
      </w:pPr>
      <w:bookmarkStart w:id="5" w:name="_Toc365441081"/>
    </w:p>
    <w:p>
      <w:pPr>
        <w:jc w:val="center"/>
        <w:outlineLvl w:val="2"/>
        <w:rPr>
          <w:rFonts w:ascii="宋体" w:hAnsi="Times New Roman" w:cs="Times New Roman"/>
          <w:b/>
          <w:szCs w:val="21"/>
        </w:rPr>
      </w:pPr>
    </w:p>
    <w:p>
      <w:pPr>
        <w:jc w:val="center"/>
        <w:rPr>
          <w:rFonts w:ascii="宋体" w:hAnsi="Times New Roman" w:cs="Times New Roman"/>
          <w:b/>
          <w:sz w:val="26"/>
          <w:szCs w:val="26"/>
        </w:rPr>
      </w:pPr>
    </w:p>
    <w:p>
      <w:pPr>
        <w:jc w:val="center"/>
        <w:rPr>
          <w:rFonts w:ascii="宋体" w:hAnsi="Times New Roman" w:cs="Times New Roman"/>
          <w:b/>
          <w:sz w:val="26"/>
          <w:szCs w:val="26"/>
        </w:rPr>
      </w:pPr>
      <w:r>
        <w:rPr>
          <w:rFonts w:hint="eastAsia" w:ascii="宋体" w:hAnsi="Times New Roman" w:cs="Times New Roman"/>
          <w:b/>
          <w:sz w:val="26"/>
          <w:szCs w:val="26"/>
        </w:rPr>
        <w:t>附录</w:t>
      </w:r>
      <w:r>
        <w:rPr>
          <w:rFonts w:ascii="宋体" w:hAnsi="Times New Roman" w:cs="Times New Roman"/>
          <w:b/>
          <w:sz w:val="26"/>
          <w:szCs w:val="26"/>
        </w:rPr>
        <w:t>4</w:t>
      </w:r>
      <w:r>
        <w:rPr>
          <w:rFonts w:hint="eastAsia" w:ascii="宋体" w:hAnsi="Times New Roman" w:cs="Times New Roman"/>
          <w:b/>
          <w:sz w:val="26"/>
          <w:szCs w:val="26"/>
        </w:rPr>
        <w:t xml:space="preserve">  资格审查条件(总监理工程师最低要求)</w:t>
      </w:r>
      <w:bookmarkEnd w:id="5"/>
    </w:p>
    <w:p>
      <w:pPr>
        <w:jc w:val="center"/>
        <w:rPr>
          <w:rFonts w:ascii="宋体" w:hAnsi="Times New Roman" w:cs="Times New Roman"/>
          <w:b/>
          <w:szCs w:val="21"/>
        </w:rPr>
      </w:pPr>
    </w:p>
    <w:tbl>
      <w:tblPr>
        <w:tblStyle w:val="4"/>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928"/>
        <w:gridCol w:w="690"/>
        <w:gridCol w:w="5312"/>
        <w:gridCol w:w="15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501" w:hRule="atLeast"/>
          <w:jc w:val="center"/>
        </w:trPr>
        <w:tc>
          <w:tcPr>
            <w:tcW w:w="545" w:type="pct"/>
            <w:tcBorders>
              <w:left w:val="single" w:color="auto" w:sz="12" w:space="0"/>
            </w:tcBorders>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人员</w:t>
            </w:r>
          </w:p>
        </w:tc>
        <w:tc>
          <w:tcPr>
            <w:tcW w:w="405" w:type="pct"/>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数量</w:t>
            </w:r>
          </w:p>
        </w:tc>
        <w:tc>
          <w:tcPr>
            <w:tcW w:w="3119" w:type="pct"/>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资格要求</w:t>
            </w:r>
          </w:p>
        </w:tc>
        <w:tc>
          <w:tcPr>
            <w:tcW w:w="931" w:type="pct"/>
          </w:tcPr>
          <w:p>
            <w:pPr>
              <w:spacing w:line="440" w:lineRule="exact"/>
              <w:jc w:val="center"/>
              <w:rPr>
                <w:rFonts w:ascii="Times New Roman" w:hAnsi="Times New Roman" w:cs="Times New Roman"/>
                <w:b/>
                <w:szCs w:val="21"/>
              </w:rPr>
            </w:pPr>
            <w:r>
              <w:rPr>
                <w:rFonts w:hint="eastAsia" w:ascii="Times New Roman" w:hAnsi="Times New Roman" w:cs="Times New Roman"/>
                <w:b/>
                <w:szCs w:val="21"/>
              </w:rPr>
              <w:t>在岗情况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2195" w:hRule="atLeast"/>
          <w:jc w:val="center"/>
        </w:trPr>
        <w:tc>
          <w:tcPr>
            <w:tcW w:w="545" w:type="pct"/>
            <w:tcBorders>
              <w:left w:val="single" w:color="auto" w:sz="12" w:space="0"/>
            </w:tcBorders>
            <w:vAlign w:val="center"/>
          </w:tcPr>
          <w:p>
            <w:pPr>
              <w:jc w:val="center"/>
              <w:rPr>
                <w:rFonts w:ascii="宋体" w:hAnsi="宋体" w:cs="Times New Roman"/>
                <w:szCs w:val="21"/>
              </w:rPr>
            </w:pPr>
            <w:r>
              <w:rPr>
                <w:rFonts w:hint="eastAsia" w:ascii="宋体" w:hAnsi="宋体" w:cs="Times New Roman"/>
                <w:szCs w:val="21"/>
              </w:rPr>
              <w:t>总监理</w:t>
            </w:r>
          </w:p>
          <w:p>
            <w:pPr>
              <w:jc w:val="center"/>
              <w:rPr>
                <w:rFonts w:ascii="宋体" w:hAnsi="宋体" w:cs="Times New Roman"/>
                <w:szCs w:val="21"/>
              </w:rPr>
            </w:pPr>
            <w:r>
              <w:rPr>
                <w:rFonts w:hint="eastAsia" w:ascii="宋体" w:hAnsi="宋体" w:cs="Times New Roman"/>
                <w:szCs w:val="21"/>
              </w:rPr>
              <w:t>工程师</w:t>
            </w:r>
          </w:p>
        </w:tc>
        <w:tc>
          <w:tcPr>
            <w:tcW w:w="405" w:type="pct"/>
            <w:vAlign w:val="center"/>
          </w:tcPr>
          <w:p>
            <w:pPr>
              <w:adjustRightInd w:val="0"/>
              <w:snapToGrid w:val="0"/>
              <w:spacing w:line="440" w:lineRule="exact"/>
              <w:jc w:val="center"/>
              <w:rPr>
                <w:rFonts w:ascii="Times New Roman" w:hAnsi="Times New Roman" w:cs="Times New Roman"/>
                <w:szCs w:val="21"/>
              </w:rPr>
            </w:pPr>
            <w:r>
              <w:rPr>
                <w:rFonts w:ascii="Times New Roman" w:hAnsi="Times New Roman" w:cs="Times New Roman"/>
                <w:szCs w:val="21"/>
              </w:rPr>
              <w:t>1</w:t>
            </w:r>
          </w:p>
        </w:tc>
        <w:tc>
          <w:tcPr>
            <w:tcW w:w="3119" w:type="pct"/>
            <w:vAlign w:val="center"/>
          </w:tcPr>
          <w:p>
            <w:pPr>
              <w:ind w:firstLine="420" w:firstLineChars="200"/>
              <w:rPr>
                <w:rFonts w:ascii="宋体" w:hAnsi="宋体" w:cs="宋体"/>
                <w:kern w:val="0"/>
                <w:szCs w:val="21"/>
              </w:rPr>
            </w:pPr>
            <w:r>
              <w:rPr>
                <w:rFonts w:hint="eastAsia" w:ascii="宋体" w:hAnsi="宋体" w:cs="宋体"/>
                <w:kern w:val="0"/>
                <w:szCs w:val="21"/>
              </w:rPr>
              <w:t>工程师；</w:t>
            </w:r>
          </w:p>
          <w:p>
            <w:pPr>
              <w:ind w:firstLine="420" w:firstLineChars="200"/>
              <w:rPr>
                <w:rFonts w:ascii="宋体" w:hAnsi="宋体" w:cs="宋体"/>
                <w:kern w:val="0"/>
                <w:szCs w:val="21"/>
              </w:rPr>
            </w:pPr>
            <w:r>
              <w:rPr>
                <w:rFonts w:hint="eastAsia" w:ascii="宋体" w:hAnsi="宋体" w:cs="宋体"/>
                <w:kern w:val="0"/>
                <w:szCs w:val="21"/>
              </w:rPr>
              <w:t>具有交通运输部颁发的监理工程师（机电工程专业）执业资格，并进行了从业登记（登记单位与投标人单位一致）；</w:t>
            </w:r>
          </w:p>
          <w:p>
            <w:pPr>
              <w:ind w:firstLine="420" w:firstLineChars="200"/>
              <w:rPr>
                <w:rFonts w:ascii="宋体" w:hAnsi="宋体" w:cs="Times New Roman"/>
                <w:szCs w:val="21"/>
              </w:rPr>
            </w:pPr>
            <w:r>
              <w:rPr>
                <w:rFonts w:hint="eastAsia" w:ascii="宋体" w:hAnsi="宋体" w:cs="Times New Roman"/>
                <w:szCs w:val="21"/>
              </w:rPr>
              <w:t>近5年</w:t>
            </w:r>
            <w:r>
              <w:rPr>
                <w:rFonts w:ascii="宋体" w:hAnsi="Times New Roman" w:cs="Times New Roman"/>
                <w:szCs w:val="21"/>
              </w:rPr>
              <w:t>（</w:t>
            </w:r>
            <w:r>
              <w:rPr>
                <w:rFonts w:hint="eastAsia" w:ascii="宋体" w:hAnsi="Times New Roman" w:cs="Times New Roman"/>
                <w:szCs w:val="21"/>
              </w:rPr>
              <w:t>2018年12月1日至投标截止时间，以交工时间为准</w:t>
            </w:r>
            <w:r>
              <w:rPr>
                <w:rFonts w:ascii="宋体" w:hAnsi="Times New Roman" w:cs="Times New Roman"/>
                <w:szCs w:val="21"/>
              </w:rPr>
              <w:t>）</w:t>
            </w:r>
            <w:r>
              <w:rPr>
                <w:rFonts w:hint="eastAsia" w:ascii="宋体" w:hAnsi="宋体" w:cs="Times New Roman"/>
                <w:szCs w:val="21"/>
              </w:rPr>
              <w:t>至少担任</w:t>
            </w:r>
            <w:r>
              <w:rPr>
                <w:rFonts w:ascii="宋体" w:hAnsi="宋体" w:cs="Times New Roman"/>
                <w:szCs w:val="21"/>
              </w:rPr>
              <w:t>过</w:t>
            </w:r>
            <w:r>
              <w:rPr>
                <w:rFonts w:hint="eastAsia" w:ascii="宋体" w:hAnsi="宋体" w:cs="Times New Roman"/>
                <w:szCs w:val="21"/>
              </w:rPr>
              <w:t>1项高速公路（新建或改扩建或养护）机电工程的总监理工程师或驻地监理工程师。</w:t>
            </w:r>
          </w:p>
        </w:tc>
        <w:tc>
          <w:tcPr>
            <w:tcW w:w="931" w:type="pct"/>
            <w:vAlign w:val="center"/>
          </w:tcPr>
          <w:p>
            <w:pPr>
              <w:rPr>
                <w:rFonts w:ascii="宋体" w:hAnsi="宋体" w:cs="Times New Roman"/>
                <w:szCs w:val="21"/>
              </w:rPr>
            </w:pPr>
            <w:r>
              <w:rPr>
                <w:rFonts w:hint="eastAsia" w:ascii="宋体" w:hAnsi="宋体" w:cs="Times New Roman"/>
              </w:rPr>
              <w:t>未在其他项目上任职，或虽在其他项目上任职但本项目中标后能够从该项目撤离。</w:t>
            </w:r>
          </w:p>
        </w:tc>
      </w:tr>
    </w:tbl>
    <w:p>
      <w:pPr>
        <w:spacing w:line="400" w:lineRule="exact"/>
        <w:rPr>
          <w:rFonts w:eastAsia="黑体"/>
          <w:bCs/>
          <w:sz w:val="28"/>
          <w:szCs w:val="28"/>
        </w:rPr>
      </w:pPr>
    </w:p>
    <w:bookmarkEnd w:id="2"/>
    <w:p>
      <w:pPr>
        <w:pStyle w:val="3"/>
        <w:snapToGrid w:val="0"/>
        <w:spacing w:before="120" w:after="120" w:line="240" w:lineRule="auto"/>
        <w:rPr>
          <w:rFonts w:eastAsia="黑体"/>
          <w:bCs w:val="0"/>
          <w:sz w:val="28"/>
          <w:szCs w:val="28"/>
        </w:rPr>
      </w:pPr>
      <w:r>
        <w:rPr>
          <w:b w:val="0"/>
          <w:sz w:val="24"/>
        </w:rPr>
        <w:br w:type="page"/>
      </w:r>
      <w:bookmarkStart w:id="6" w:name="_Toc513624014"/>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6"/>
    </w:p>
    <w:p>
      <w:pPr>
        <w:pStyle w:val="6"/>
        <w:spacing w:line="276" w:lineRule="auto"/>
        <w:rPr>
          <w:rFonts w:ascii="宋体" w:hAnsi="宋体" w:eastAsia="宋体"/>
          <w:sz w:val="30"/>
          <w:szCs w:val="30"/>
        </w:rPr>
      </w:pPr>
      <w:bookmarkStart w:id="7" w:name="_Toc509660966"/>
      <w:bookmarkStart w:id="8" w:name="_Toc509659998"/>
      <w:bookmarkStart w:id="9" w:name="_Toc459307890"/>
      <w:bookmarkStart w:id="10" w:name="_Toc450319202"/>
      <w:bookmarkStart w:id="11" w:name="_Toc502992691"/>
      <w:bookmarkStart w:id="12" w:name="_Toc513624015"/>
      <w:bookmarkStart w:id="13" w:name="_Toc445382083"/>
      <w:bookmarkStart w:id="14" w:name="_Toc444271617"/>
      <w:bookmarkStart w:id="15" w:name="_Toc444088432"/>
      <w:bookmarkStart w:id="16" w:name="_Toc445222503"/>
      <w:r>
        <w:rPr>
          <w:rFonts w:hint="eastAsia" w:ascii="宋体" w:hAnsi="宋体" w:eastAsia="宋体"/>
          <w:sz w:val="30"/>
          <w:szCs w:val="30"/>
        </w:rPr>
        <w:t>评标办法（综合评估法）</w:t>
      </w:r>
      <w:bookmarkEnd w:id="7"/>
      <w:bookmarkEnd w:id="8"/>
      <w:bookmarkEnd w:id="9"/>
      <w:bookmarkEnd w:id="10"/>
      <w:bookmarkEnd w:id="11"/>
      <w:bookmarkEnd w:id="12"/>
    </w:p>
    <w:bookmarkEnd w:id="13"/>
    <w:bookmarkEnd w:id="14"/>
    <w:bookmarkEnd w:id="15"/>
    <w:bookmarkEnd w:id="16"/>
    <w:p>
      <w:pPr>
        <w:keepNext/>
        <w:keepLines/>
        <w:snapToGrid w:val="0"/>
        <w:spacing w:before="120" w:after="120"/>
        <w:outlineLvl w:val="2"/>
        <w:rPr>
          <w:rFonts w:ascii="宋体" w:hAnsi="宋体"/>
          <w:b/>
          <w:bCs/>
          <w:sz w:val="24"/>
        </w:rPr>
      </w:pPr>
      <w:r>
        <w:rPr>
          <w:rFonts w:hint="eastAsia" w:ascii="宋体" w:hAnsi="宋体"/>
          <w:b/>
          <w:bCs/>
          <w:sz w:val="24"/>
        </w:rPr>
        <w:t>评标办法前附表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50"/>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50" w:type="dxa"/>
            <w:vAlign w:val="center"/>
          </w:tcPr>
          <w:p>
            <w:pPr>
              <w:jc w:val="center"/>
              <w:rPr>
                <w:rFonts w:ascii="宋体" w:hAnsi="宋体"/>
                <w:szCs w:val="21"/>
              </w:rPr>
            </w:pPr>
            <w:r>
              <w:rPr>
                <w:rFonts w:hint="eastAsia" w:ascii="宋体" w:hAnsi="宋体"/>
                <w:szCs w:val="21"/>
              </w:rPr>
              <w:t>条款号</w:t>
            </w:r>
          </w:p>
        </w:tc>
        <w:tc>
          <w:tcPr>
            <w:tcW w:w="1250" w:type="dxa"/>
            <w:vAlign w:val="center"/>
          </w:tcPr>
          <w:p>
            <w:pPr>
              <w:jc w:val="center"/>
              <w:rPr>
                <w:rFonts w:ascii="宋体" w:hAnsi="宋体"/>
                <w:szCs w:val="21"/>
              </w:rPr>
            </w:pPr>
            <w:r>
              <w:rPr>
                <w:rFonts w:hint="eastAsia" w:ascii="宋体" w:hAnsi="宋体"/>
                <w:szCs w:val="21"/>
              </w:rPr>
              <w:t>条款名称</w:t>
            </w:r>
          </w:p>
        </w:tc>
        <w:tc>
          <w:tcPr>
            <w:tcW w:w="7128" w:type="dxa"/>
            <w:vAlign w:val="center"/>
          </w:tcPr>
          <w:p>
            <w:pPr>
              <w:jc w:val="center"/>
              <w:rPr>
                <w:rFonts w:ascii="宋体" w:hAnsi="宋体"/>
                <w:szCs w:val="21"/>
              </w:rPr>
            </w:pPr>
            <w:r>
              <w:rPr>
                <w:rFonts w:hint="eastAsia" w:ascii="宋体" w:hAnsi="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1050" w:type="dxa"/>
            <w:vAlign w:val="center"/>
          </w:tcPr>
          <w:p>
            <w:pPr>
              <w:jc w:val="center"/>
              <w:rPr>
                <w:rFonts w:ascii="宋体" w:hAnsi="宋体"/>
                <w:szCs w:val="21"/>
              </w:rPr>
            </w:pPr>
            <w:r>
              <w:rPr>
                <w:rFonts w:hint="eastAsia" w:ascii="宋体" w:hAnsi="宋体"/>
                <w:szCs w:val="21"/>
              </w:rPr>
              <w:t>1</w:t>
            </w:r>
          </w:p>
        </w:tc>
        <w:tc>
          <w:tcPr>
            <w:tcW w:w="1250" w:type="dxa"/>
            <w:vAlign w:val="center"/>
          </w:tcPr>
          <w:p>
            <w:pPr>
              <w:jc w:val="center"/>
              <w:rPr>
                <w:rFonts w:ascii="宋体" w:hAnsi="宋体"/>
                <w:szCs w:val="21"/>
              </w:rPr>
            </w:pPr>
            <w:r>
              <w:rPr>
                <w:rFonts w:hint="eastAsia" w:ascii="宋体" w:hAnsi="宋体"/>
                <w:szCs w:val="21"/>
              </w:rPr>
              <w:t>评标办法</w:t>
            </w:r>
          </w:p>
        </w:tc>
        <w:tc>
          <w:tcPr>
            <w:tcW w:w="7128" w:type="dxa"/>
            <w:vAlign w:val="center"/>
          </w:tcPr>
          <w:p>
            <w:pPr>
              <w:spacing w:line="288" w:lineRule="auto"/>
              <w:ind w:firstLine="404" w:firstLineChars="200"/>
              <w:jc w:val="left"/>
              <w:rPr>
                <w:rFonts w:ascii="宋体" w:hAnsi="宋体"/>
                <w:spacing w:val="-4"/>
                <w:szCs w:val="21"/>
              </w:rPr>
            </w:pPr>
            <w:r>
              <w:rPr>
                <w:rFonts w:hint="eastAsia" w:ascii="宋体" w:hAnsi="宋体"/>
                <w:spacing w:val="-4"/>
                <w:szCs w:val="21"/>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288" w:lineRule="auto"/>
              <w:ind w:left="205" w:leftChars="97" w:hanging="1"/>
              <w:jc w:val="left"/>
              <w:rPr>
                <w:rFonts w:ascii="宋体" w:hAnsi="宋体"/>
                <w:spacing w:val="-4"/>
                <w:szCs w:val="21"/>
              </w:rPr>
            </w:pPr>
            <w:r>
              <w:rPr>
                <w:rFonts w:hint="eastAsia" w:ascii="宋体" w:hAnsi="宋体"/>
                <w:spacing w:val="-4"/>
                <w:szCs w:val="21"/>
              </w:rPr>
              <w:t>（1）评标价低的投标人优先；</w:t>
            </w:r>
          </w:p>
          <w:p>
            <w:pPr>
              <w:spacing w:line="288" w:lineRule="auto"/>
              <w:ind w:left="205" w:leftChars="97" w:hanging="1"/>
              <w:jc w:val="left"/>
              <w:rPr>
                <w:rFonts w:ascii="宋体" w:hAnsi="宋体"/>
                <w:spacing w:val="-4"/>
                <w:szCs w:val="21"/>
              </w:rPr>
            </w:pPr>
            <w:r>
              <w:rPr>
                <w:rFonts w:hint="eastAsia" w:ascii="宋体" w:hAnsi="宋体"/>
                <w:spacing w:val="-4"/>
                <w:szCs w:val="21"/>
              </w:rPr>
              <w:t>（2）技术建议书得分较高的投标人优先；</w:t>
            </w:r>
          </w:p>
          <w:p>
            <w:pPr>
              <w:spacing w:line="288" w:lineRule="auto"/>
              <w:ind w:left="205" w:leftChars="97" w:hanging="1"/>
              <w:jc w:val="left"/>
              <w:rPr>
                <w:rFonts w:ascii="宋体" w:hAnsi="宋体"/>
                <w:spacing w:val="-4"/>
                <w:szCs w:val="21"/>
              </w:rPr>
            </w:pPr>
            <w:r>
              <w:rPr>
                <w:rFonts w:hint="eastAsia" w:ascii="宋体" w:hAnsi="宋体"/>
                <w:spacing w:val="-4"/>
                <w:szCs w:val="21"/>
              </w:rPr>
              <w:t>（3）投标人满足资格审查条件(业绩最低条件)要求的业绩累计金额高的优先。</w:t>
            </w:r>
          </w:p>
          <w:p>
            <w:pPr>
              <w:spacing w:line="288" w:lineRule="auto"/>
              <w:ind w:firstLine="404" w:firstLineChars="200"/>
              <w:jc w:val="left"/>
            </w:pPr>
            <w:r>
              <w:rPr>
                <w:rFonts w:hint="eastAsia" w:ascii="宋体" w:hAnsi="宋体"/>
                <w:spacing w:val="-4"/>
                <w:szCs w:val="21"/>
              </w:rPr>
              <w:t>本项目的施工单位或与本项目施工单位的单位负责人为同一人、或存在参股或者管理关系的不同单位参加本项目的投标的，不再被推荐为中标候选人。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jc w:val="center"/>
        </w:trPr>
        <w:tc>
          <w:tcPr>
            <w:tcW w:w="1050" w:type="dxa"/>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50" w:type="dxa"/>
            <w:vAlign w:val="center"/>
          </w:tcPr>
          <w:p>
            <w:pPr>
              <w:jc w:val="center"/>
              <w:rPr>
                <w:rFonts w:ascii="宋体" w:hAnsi="宋体"/>
                <w:szCs w:val="21"/>
              </w:rPr>
            </w:pPr>
            <w:r>
              <w:rPr>
                <w:rFonts w:hint="eastAsia" w:ascii="宋体" w:hAnsi="宋体"/>
                <w:szCs w:val="21"/>
              </w:rPr>
              <w:t>形式评审与响应性评审标准</w:t>
            </w:r>
          </w:p>
        </w:tc>
        <w:tc>
          <w:tcPr>
            <w:tcW w:w="7128" w:type="dxa"/>
          </w:tcPr>
          <w:p>
            <w:pPr>
              <w:tabs>
                <w:tab w:val="left" w:pos="3060"/>
              </w:tabs>
              <w:spacing w:line="360" w:lineRule="exact"/>
              <w:rPr>
                <w:rFonts w:ascii="宋体" w:hAnsi="宋体"/>
                <w:b/>
                <w:szCs w:val="21"/>
              </w:rPr>
            </w:pPr>
            <w:r>
              <w:rPr>
                <w:rFonts w:hint="eastAsia" w:ascii="宋体" w:hAnsi="宋体"/>
                <w:b/>
                <w:szCs w:val="21"/>
              </w:rPr>
              <w:t>第一个信封（商务及技术文件）评审标准:</w:t>
            </w:r>
          </w:p>
          <w:p>
            <w:pPr>
              <w:tabs>
                <w:tab w:val="left" w:pos="3060"/>
              </w:tabs>
              <w:spacing w:line="360" w:lineRule="exact"/>
              <w:ind w:firstLine="210" w:firstLineChars="1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210" w:firstLineChars="100"/>
              <w:rPr>
                <w:rFonts w:ascii="宋体" w:hAnsi="宋体"/>
                <w:bCs/>
                <w:szCs w:val="21"/>
              </w:rPr>
            </w:pPr>
            <w:r>
              <w:rPr>
                <w:rFonts w:hint="eastAsia" w:ascii="宋体" w:hAnsi="宋体"/>
                <w:bCs/>
                <w:szCs w:val="21"/>
              </w:rPr>
              <w:t>a．投标函按招标文件规定填报了招标人名称、补遗书编号（如有）、总监理工程师相关信息、质量要求、安全目标、监理服务期限等；</w:t>
            </w:r>
          </w:p>
          <w:p>
            <w:pPr>
              <w:tabs>
                <w:tab w:val="left" w:pos="3060"/>
              </w:tabs>
              <w:spacing w:line="360" w:lineRule="exact"/>
              <w:ind w:firstLine="210" w:firstLineChars="1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210" w:firstLineChars="100"/>
              <w:rPr>
                <w:rFonts w:ascii="宋体" w:hAnsi="宋体"/>
                <w:bCs/>
                <w:szCs w:val="21"/>
              </w:rPr>
            </w:pPr>
            <w:r>
              <w:rPr>
                <w:rFonts w:hint="eastAsia" w:ascii="宋体" w:hAnsi="宋体"/>
                <w:bCs/>
                <w:szCs w:val="21"/>
              </w:rPr>
              <w:t>（2）投标文件上法定代表人或其委托代理人的签字、投标人的单位盖章齐全，符合招标文件规定。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（3）投标人按照招标文件的规定提供了投标保证金：</w:t>
            </w:r>
          </w:p>
          <w:p>
            <w:pPr>
              <w:tabs>
                <w:tab w:val="left" w:pos="3060"/>
              </w:tabs>
              <w:spacing w:line="360" w:lineRule="exact"/>
              <w:ind w:firstLine="210" w:firstLineChars="100"/>
              <w:rPr>
                <w:rFonts w:ascii="宋体" w:hAnsi="宋体"/>
                <w:bCs/>
                <w:szCs w:val="21"/>
              </w:rPr>
            </w:pPr>
            <w:r>
              <w:rPr>
                <w:rFonts w:hint="eastAsia" w:ascii="宋体" w:hAnsi="宋体"/>
                <w:bCs/>
                <w:szCs w:val="21"/>
              </w:rPr>
              <w:t>a．投标保证金金额符合招标文件规定的金额，且投标保证金有效期不少于投标有效期；</w:t>
            </w:r>
          </w:p>
          <w:p>
            <w:pPr>
              <w:tabs>
                <w:tab w:val="left" w:pos="3060"/>
              </w:tabs>
              <w:spacing w:line="360" w:lineRule="exact"/>
              <w:ind w:firstLine="210" w:firstLineChars="100"/>
              <w:rPr>
                <w:rFonts w:ascii="宋体" w:hAnsi="宋体"/>
                <w:bCs/>
                <w:szCs w:val="21"/>
              </w:rPr>
            </w:pPr>
            <w:r>
              <w:rPr>
                <w:rFonts w:hint="eastAsia" w:ascii="宋体" w:hAnsi="宋体"/>
                <w:bCs/>
                <w:szCs w:val="21"/>
              </w:rPr>
              <w:t>b.若投标保证金采电汇或转账形式提交，投标人应在递交投标文件截止时间之前，将投标保证金由投标人的基本账户转入招标人指定账户；</w:t>
            </w:r>
          </w:p>
          <w:p>
            <w:pPr>
              <w:tabs>
                <w:tab w:val="left" w:pos="3060"/>
              </w:tabs>
              <w:spacing w:line="360" w:lineRule="exact"/>
              <w:ind w:firstLine="210" w:firstLineChars="100"/>
              <w:rPr>
                <w:rFonts w:ascii="宋体" w:hAnsi="宋体"/>
                <w:bCs/>
                <w:szCs w:val="21"/>
              </w:rPr>
            </w:pPr>
            <w:r>
              <w:rPr>
                <w:rFonts w:hint="eastAsia" w:ascii="宋体" w:hAnsi="宋体"/>
                <w:bCs/>
                <w:szCs w:val="21"/>
              </w:rPr>
              <w:t>c.若投标保证金采用保函形式提交，开具的保函满足招标文件要求。</w:t>
            </w:r>
          </w:p>
          <w:p>
            <w:pPr>
              <w:tabs>
                <w:tab w:val="left" w:pos="3060"/>
              </w:tabs>
              <w:spacing w:line="360" w:lineRule="exact"/>
              <w:ind w:firstLine="210" w:firstLineChars="100"/>
              <w:rPr>
                <w:rFonts w:ascii="宋体" w:hAnsi="宋体"/>
                <w:bCs/>
                <w:szCs w:val="21"/>
              </w:rPr>
            </w:pPr>
            <w:r>
              <w:rPr>
                <w:rFonts w:hint="eastAsia" w:ascii="宋体" w:hAnsi="宋体"/>
                <w:bCs/>
                <w:szCs w:val="21"/>
              </w:rPr>
              <w:t>d.若投标保证金采用保证保险形式提交，开具的保证保险满足招标文件要求。</w:t>
            </w:r>
          </w:p>
          <w:p>
            <w:pPr>
              <w:tabs>
                <w:tab w:val="left" w:pos="3060"/>
              </w:tabs>
              <w:spacing w:line="360" w:lineRule="exact"/>
              <w:ind w:firstLine="210" w:firstLineChars="100"/>
              <w:rPr>
                <w:rFonts w:ascii="宋体" w:hAnsi="宋体"/>
                <w:szCs w:val="21"/>
              </w:rPr>
            </w:pPr>
            <w:r>
              <w:rPr>
                <w:rFonts w:hint="eastAsia" w:ascii="宋体" w:hAnsi="宋体"/>
                <w:szCs w:val="21"/>
              </w:rPr>
              <w:t>（4）投标人法定代表人授权委托代理人签署投标文件的，须提交授权委托书，授权委托书符合招标文件规定。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（5）投标人法定代表人亲自签署投标文件的，提供了法定代表人身份证明，法定代表人身份证明符合招标文件规定。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6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6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）同一投标人未提交两个以上不同的投标文件或备选方案。</w:t>
            </w:r>
          </w:p>
          <w:p>
            <w:pPr>
              <w:tabs>
                <w:tab w:val="left" w:pos="3060"/>
              </w:tabs>
              <w:spacing w:line="36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6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6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60" w:lineRule="exact"/>
              <w:ind w:firstLine="210" w:firstLineChars="100"/>
              <w:rPr>
                <w:rFonts w:ascii="宋体" w:hAnsi="宋体"/>
                <w:szCs w:val="21"/>
              </w:rPr>
            </w:pPr>
          </w:p>
          <w:p>
            <w:pPr>
              <w:tabs>
                <w:tab w:val="left" w:pos="3060"/>
              </w:tabs>
              <w:spacing w:line="36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105" w:firstLineChars="50"/>
              <w:rPr>
                <w:rFonts w:ascii="宋体" w:hAnsi="宋体"/>
                <w:bCs/>
                <w:szCs w:val="21"/>
              </w:rPr>
            </w:pPr>
            <w:r>
              <w:rPr>
                <w:rFonts w:hint="eastAsia" w:ascii="宋体" w:hAnsi="宋体"/>
                <w:bCs/>
                <w:szCs w:val="21"/>
              </w:rPr>
              <w:t>（1）投标文件按照招标文件规定的格式、内容填写，字迹清晰可辨，内容齐全完整：</w:t>
            </w:r>
          </w:p>
          <w:p>
            <w:pPr>
              <w:tabs>
                <w:tab w:val="left" w:pos="3060"/>
              </w:tabs>
              <w:spacing w:line="360" w:lineRule="exact"/>
              <w:ind w:firstLine="315" w:firstLineChars="150"/>
              <w:rPr>
                <w:rFonts w:ascii="宋体" w:hAnsi="宋体"/>
                <w:bCs/>
                <w:szCs w:val="21"/>
              </w:rPr>
            </w:pPr>
            <w:r>
              <w:rPr>
                <w:rFonts w:hint="eastAsia" w:ascii="宋体" w:hAnsi="宋体"/>
                <w:bCs/>
                <w:szCs w:val="21"/>
              </w:rPr>
              <w:t>a．投标函按招标文件规定填报了招标人名称、补遗书编号（如有）、投标总报价、施工阶段监理服务费、交工验收与缺陷责任期阶段监理服务费等；</w:t>
            </w:r>
          </w:p>
          <w:p>
            <w:pPr>
              <w:tabs>
                <w:tab w:val="left" w:pos="3060"/>
              </w:tabs>
              <w:spacing w:line="360" w:lineRule="exact"/>
              <w:ind w:firstLine="315" w:firstLineChars="150"/>
              <w:rPr>
                <w:rFonts w:ascii="宋体" w:hAnsi="宋体"/>
                <w:bCs/>
                <w:szCs w:val="21"/>
              </w:rPr>
            </w:pPr>
            <w:r>
              <w:rPr>
                <w:rFonts w:hint="eastAsia" w:ascii="宋体" w:hAnsi="宋体"/>
                <w:bCs/>
                <w:szCs w:val="21"/>
              </w:rPr>
              <w:t>b．</w:t>
            </w:r>
            <w:r>
              <w:rPr>
                <w:rFonts w:ascii="宋体" w:hAnsi="宋体"/>
                <w:bCs/>
                <w:szCs w:val="21"/>
              </w:rPr>
              <w:t>监理服务费用清单说明（如有）文字与招标文件规定一致，未进行实质性修改和删减；</w:t>
            </w:r>
          </w:p>
          <w:p>
            <w:pPr>
              <w:tabs>
                <w:tab w:val="left" w:pos="3060"/>
              </w:tabs>
              <w:spacing w:line="360" w:lineRule="exact"/>
              <w:ind w:firstLine="315" w:firstLineChars="150"/>
              <w:rPr>
                <w:rFonts w:ascii="宋体" w:hAnsi="宋体"/>
                <w:bCs/>
                <w:szCs w:val="21"/>
              </w:rPr>
            </w:pPr>
            <w:r>
              <w:rPr>
                <w:rFonts w:ascii="宋体" w:hAnsi="宋体"/>
                <w:bCs/>
                <w:szCs w:val="21"/>
              </w:rPr>
              <w:t>c.</w:t>
            </w:r>
            <w:r>
              <w:rPr>
                <w:rFonts w:hint="eastAsia" w:ascii="宋体" w:hAnsi="宋体"/>
                <w:bCs/>
                <w:szCs w:val="21"/>
              </w:rPr>
              <w:t>投标文件组成齐全完整，内容均按规定填写。</w:t>
            </w:r>
          </w:p>
          <w:p>
            <w:pPr>
              <w:tabs>
                <w:tab w:val="left" w:pos="3060"/>
              </w:tabs>
              <w:spacing w:line="360" w:lineRule="exact"/>
              <w:ind w:firstLine="105" w:firstLineChars="50"/>
              <w:rPr>
                <w:rFonts w:ascii="宋体" w:hAnsi="宋体"/>
                <w:bCs/>
                <w:szCs w:val="21"/>
              </w:rPr>
            </w:pPr>
            <w:r>
              <w:rPr>
                <w:rFonts w:hint="eastAsia" w:ascii="宋体" w:hAnsi="宋体"/>
                <w:bCs/>
                <w:szCs w:val="21"/>
              </w:rPr>
              <w:t xml:space="preserve">（2）投标文件上法定代表人或其委托代理人的签字、投标人的单位盖章齐全，符合招标文件规定。 </w:t>
            </w:r>
          </w:p>
          <w:p>
            <w:pPr>
              <w:tabs>
                <w:tab w:val="left" w:pos="3060"/>
              </w:tabs>
              <w:spacing w:line="320" w:lineRule="exact"/>
              <w:ind w:firstLine="105" w:firstLineChars="50"/>
              <w:rPr>
                <w:rFonts w:ascii="宋体" w:hAnsi="宋体"/>
                <w:szCs w:val="21"/>
              </w:rPr>
            </w:pPr>
            <w:r>
              <w:rPr>
                <w:rFonts w:hint="eastAsia" w:ascii="宋体" w:hAnsi="宋体"/>
                <w:bCs/>
                <w:szCs w:val="21"/>
              </w:rPr>
              <w:t>（3）</w:t>
            </w:r>
            <w:r>
              <w:rPr>
                <w:rFonts w:hint="eastAsia" w:ascii="宋体" w:hAnsi="宋体"/>
                <w:szCs w:val="21"/>
              </w:rPr>
              <w:t>投标报价未超过招标文件设定的最高投标限价。</w:t>
            </w:r>
          </w:p>
          <w:p>
            <w:pPr>
              <w:tabs>
                <w:tab w:val="left" w:pos="3060"/>
              </w:tabs>
              <w:spacing w:line="360" w:lineRule="exact"/>
              <w:ind w:firstLine="105" w:firstLineChars="50"/>
              <w:rPr>
                <w:rFonts w:ascii="宋体" w:hAnsi="宋体"/>
                <w:bCs/>
                <w:szCs w:val="21"/>
              </w:rPr>
            </w:pPr>
            <w:r>
              <w:rPr>
                <w:rFonts w:hint="eastAsia" w:ascii="宋体" w:hAnsi="宋体"/>
                <w:bCs/>
                <w:szCs w:val="21"/>
              </w:rPr>
              <w:t>（4）投标报价的大写金额能够确定具体数值。</w:t>
            </w:r>
          </w:p>
          <w:p>
            <w:pPr>
              <w:tabs>
                <w:tab w:val="left" w:pos="3060"/>
              </w:tabs>
              <w:spacing w:line="360" w:lineRule="exact"/>
              <w:ind w:firstLine="105" w:firstLineChars="50"/>
              <w:rPr>
                <w:rFonts w:ascii="宋体" w:hAnsi="宋体"/>
                <w:bCs/>
                <w:szCs w:val="21"/>
              </w:rPr>
            </w:pPr>
            <w:r>
              <w:rPr>
                <w:rFonts w:hint="eastAsia" w:ascii="宋体" w:hAnsi="宋体"/>
                <w:bCs/>
                <w:szCs w:val="21"/>
              </w:rPr>
              <w:t>（5）同一投标人未提交两个以上不同的投标报价。</w:t>
            </w:r>
          </w:p>
          <w:p>
            <w:pPr>
              <w:tabs>
                <w:tab w:val="left" w:pos="3060"/>
              </w:tabs>
              <w:spacing w:line="360" w:lineRule="exact"/>
              <w:ind w:firstLine="105" w:firstLineChars="50"/>
              <w:rPr>
                <w:rFonts w:ascii="宋体" w:hAnsi="宋体"/>
                <w:bCs/>
                <w:szCs w:val="21"/>
              </w:rPr>
            </w:pPr>
            <w:r>
              <w:rPr>
                <w:rFonts w:hint="eastAsia" w:ascii="宋体" w:hAnsi="宋体"/>
                <w:bCs/>
                <w:szCs w:val="21"/>
              </w:rPr>
              <w:t>（</w:t>
            </w:r>
            <w:r>
              <w:rPr>
                <w:rFonts w:ascii="宋体" w:hAnsi="宋体"/>
                <w:bCs/>
                <w:szCs w:val="21"/>
              </w:rPr>
              <w:t>6</w:t>
            </w:r>
            <w:r>
              <w:rPr>
                <w:rFonts w:hint="eastAsia" w:ascii="宋体" w:hAnsi="宋体"/>
                <w:bCs/>
                <w:szCs w:val="21"/>
              </w:rPr>
              <w:t>）投标报价中</w:t>
            </w:r>
            <w:bookmarkStart w:id="17" w:name="_Hlk137918822"/>
            <w:r>
              <w:rPr>
                <w:rFonts w:hint="eastAsia" w:ascii="宋体" w:hAnsi="宋体"/>
                <w:bCs/>
                <w:szCs w:val="21"/>
              </w:rPr>
              <w:t>交工验收与缺陷责任期阶段监理服务费报价不低于监理服务总费用的10%</w:t>
            </w:r>
            <w:bookmarkEnd w:id="17"/>
            <w:r>
              <w:rPr>
                <w:rFonts w:hint="eastAsia" w:ascii="宋体" w:hAnsi="宋体"/>
                <w:bCs/>
                <w:szCs w:val="21"/>
              </w:rPr>
              <w:t>。</w:t>
            </w:r>
          </w:p>
          <w:p>
            <w:pPr>
              <w:tabs>
                <w:tab w:val="left" w:pos="3060"/>
              </w:tabs>
              <w:spacing w:line="360" w:lineRule="exact"/>
              <w:ind w:firstLine="105" w:firstLineChars="50"/>
              <w:rPr>
                <w:rFonts w:ascii="宋体" w:hAnsi="宋体"/>
                <w:bCs/>
                <w:szCs w:val="21"/>
              </w:rPr>
            </w:pPr>
            <w:r>
              <w:rPr>
                <w:rFonts w:hint="eastAsia" w:ascii="宋体" w:hAnsi="宋体"/>
                <w:bCs/>
                <w:szCs w:val="21"/>
              </w:rPr>
              <w:t>（</w:t>
            </w:r>
            <w:r>
              <w:rPr>
                <w:rFonts w:ascii="宋体" w:hAnsi="宋体"/>
                <w:bCs/>
                <w:szCs w:val="21"/>
              </w:rPr>
              <w:t>7</w:t>
            </w:r>
            <w:r>
              <w:rPr>
                <w:rFonts w:hint="eastAsia" w:ascii="宋体" w:hAnsi="宋体"/>
                <w:bCs/>
                <w:szCs w:val="21"/>
              </w:rPr>
              <w:t>）监理服务</w:t>
            </w:r>
            <w:r>
              <w:rPr>
                <w:rFonts w:hint="eastAsia" w:ascii="宋体" w:hAnsi="宋体"/>
                <w:szCs w:val="21"/>
              </w:rPr>
              <w:t>费用清单</w:t>
            </w:r>
            <w:r>
              <w:rPr>
                <w:rFonts w:hint="eastAsia" w:ascii="宋体" w:hAnsi="宋体"/>
                <w:bCs/>
                <w:szCs w:val="21"/>
              </w:rPr>
              <w:t>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1050" w:type="dxa"/>
            <w:vAlign w:val="center"/>
          </w:tcPr>
          <w:p>
            <w:pPr>
              <w:jc w:val="center"/>
              <w:rPr>
                <w:rFonts w:ascii="宋体" w:hAnsi="宋体"/>
                <w:szCs w:val="21"/>
              </w:rPr>
            </w:pPr>
            <w:r>
              <w:rPr>
                <w:rFonts w:hint="eastAsia" w:ascii="宋体" w:hAnsi="宋体"/>
                <w:szCs w:val="21"/>
              </w:rPr>
              <w:t>2.1.2</w:t>
            </w:r>
          </w:p>
        </w:tc>
        <w:tc>
          <w:tcPr>
            <w:tcW w:w="1250" w:type="dxa"/>
            <w:vAlign w:val="center"/>
          </w:tcPr>
          <w:p>
            <w:pPr>
              <w:jc w:val="center"/>
              <w:rPr>
                <w:rFonts w:ascii="宋体" w:hAnsi="宋体"/>
                <w:szCs w:val="21"/>
              </w:rPr>
            </w:pPr>
            <w:r>
              <w:rPr>
                <w:rFonts w:hint="eastAsia" w:ascii="宋体" w:hAnsi="宋体"/>
                <w:szCs w:val="21"/>
              </w:rPr>
              <w:t>资格评审标准</w:t>
            </w:r>
          </w:p>
        </w:tc>
        <w:tc>
          <w:tcPr>
            <w:tcW w:w="7128" w:type="dxa"/>
            <w:vAlign w:val="center"/>
          </w:tcPr>
          <w:p>
            <w:pPr>
              <w:tabs>
                <w:tab w:val="left" w:pos="3060"/>
              </w:tabs>
              <w:spacing w:line="320" w:lineRule="exact"/>
              <w:jc w:val="left"/>
              <w:rPr>
                <w:rFonts w:ascii="宋体" w:hAnsi="宋体"/>
                <w:szCs w:val="21"/>
              </w:rPr>
            </w:pPr>
            <w:r>
              <w:rPr>
                <w:rFonts w:hint="eastAsia" w:ascii="宋体" w:hAnsi="宋体"/>
                <w:szCs w:val="21"/>
              </w:rPr>
              <w:t>（1）投标人具备有效的营业执照、组织机构代码证（三证合一的除外）、监理资质证书和基本账户开户许可证（或基本存款账户信息）；</w:t>
            </w:r>
          </w:p>
          <w:p>
            <w:pPr>
              <w:tabs>
                <w:tab w:val="left" w:pos="3060"/>
              </w:tabs>
              <w:spacing w:line="320" w:lineRule="exact"/>
              <w:jc w:val="left"/>
              <w:rPr>
                <w:rFonts w:ascii="宋体" w:hAnsi="宋体"/>
                <w:szCs w:val="21"/>
              </w:rPr>
            </w:pPr>
            <w:r>
              <w:rPr>
                <w:rFonts w:hint="eastAsia" w:ascii="宋体" w:hAnsi="宋体"/>
                <w:szCs w:val="21"/>
              </w:rPr>
              <w:t>（2）投标人的资质等级符合招标文件规定；</w:t>
            </w:r>
          </w:p>
          <w:p>
            <w:pPr>
              <w:tabs>
                <w:tab w:val="left" w:pos="3060"/>
              </w:tabs>
              <w:spacing w:line="320" w:lineRule="exact"/>
              <w:jc w:val="left"/>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jc w:val="left"/>
              <w:rPr>
                <w:rFonts w:ascii="宋体" w:hAnsi="宋体"/>
                <w:szCs w:val="21"/>
              </w:rPr>
            </w:pPr>
            <w:r>
              <w:rPr>
                <w:rFonts w:hint="eastAsia" w:ascii="宋体" w:hAnsi="宋体"/>
                <w:szCs w:val="21"/>
              </w:rPr>
              <w:t>（4）投标人的信誉符合招标文件规定；</w:t>
            </w:r>
          </w:p>
          <w:p>
            <w:pPr>
              <w:tabs>
                <w:tab w:val="left" w:pos="3060"/>
              </w:tabs>
              <w:spacing w:line="320" w:lineRule="exact"/>
              <w:jc w:val="left"/>
              <w:rPr>
                <w:rFonts w:ascii="宋体" w:hAnsi="宋体"/>
                <w:szCs w:val="21"/>
              </w:rPr>
            </w:pPr>
            <w:r>
              <w:rPr>
                <w:rFonts w:hint="eastAsia" w:ascii="宋体" w:hAnsi="宋体"/>
                <w:szCs w:val="21"/>
              </w:rPr>
              <w:t>（5）投标人的总监理工程师资格符合招标文件规定；</w:t>
            </w:r>
          </w:p>
          <w:p>
            <w:pPr>
              <w:tabs>
                <w:tab w:val="left" w:pos="3060"/>
              </w:tabs>
              <w:spacing w:line="320" w:lineRule="exact"/>
              <w:jc w:val="left"/>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jc w:val="left"/>
              <w:rPr>
                <w:rFonts w:ascii="宋体" w:hAnsi="宋体"/>
                <w:szCs w:val="21"/>
              </w:rPr>
            </w:pPr>
            <w:r>
              <w:rPr>
                <w:rFonts w:hint="eastAsia" w:ascii="宋体" w:hAnsi="宋体"/>
                <w:szCs w:val="21"/>
              </w:rPr>
              <w:t>（</w:t>
            </w:r>
            <w:r>
              <w:rPr>
                <w:rFonts w:ascii="宋体" w:hAnsi="宋体"/>
                <w:szCs w:val="21"/>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050" w:type="dxa"/>
            <w:vAlign w:val="center"/>
          </w:tcPr>
          <w:p>
            <w:pPr>
              <w:jc w:val="center"/>
              <w:rPr>
                <w:rFonts w:ascii="宋体" w:hAnsi="宋体"/>
                <w:szCs w:val="21"/>
              </w:rPr>
            </w:pPr>
            <w:r>
              <w:rPr>
                <w:rFonts w:hint="eastAsia" w:ascii="宋体" w:hAnsi="宋体"/>
                <w:szCs w:val="21"/>
              </w:rPr>
              <w:t>2.2.1</w:t>
            </w:r>
          </w:p>
        </w:tc>
        <w:tc>
          <w:tcPr>
            <w:tcW w:w="1250" w:type="dxa"/>
            <w:vAlign w:val="center"/>
          </w:tcPr>
          <w:p>
            <w:pPr>
              <w:jc w:val="center"/>
              <w:rPr>
                <w:rFonts w:ascii="宋体" w:hAnsi="宋体"/>
                <w:szCs w:val="21"/>
              </w:rPr>
            </w:pPr>
            <w:r>
              <w:rPr>
                <w:rFonts w:hint="eastAsia" w:ascii="宋体" w:hAnsi="宋体"/>
                <w:szCs w:val="21"/>
              </w:rPr>
              <w:t>分值构成</w:t>
            </w:r>
          </w:p>
        </w:tc>
        <w:tc>
          <w:tcPr>
            <w:tcW w:w="7128" w:type="dxa"/>
            <w:vAlign w:val="center"/>
          </w:tcPr>
          <w:p>
            <w:pPr>
              <w:autoSpaceDE w:val="0"/>
              <w:autoSpaceDN w:val="0"/>
              <w:adjustRightInd w:val="0"/>
              <w:ind w:left="107"/>
              <w:jc w:val="left"/>
              <w:rPr>
                <w:rFonts w:ascii="宋体" w:hAnsi="宋体"/>
                <w:b/>
                <w:kern w:val="0"/>
                <w:szCs w:val="21"/>
              </w:rPr>
            </w:pPr>
            <w:r>
              <w:rPr>
                <w:rFonts w:hint="eastAsia" w:ascii="宋体" w:hAnsi="宋体"/>
                <w:b/>
                <w:kern w:val="0"/>
                <w:szCs w:val="21"/>
              </w:rPr>
              <w:t>第一信封（商务及技术文件）评分分值构成：</w:t>
            </w:r>
          </w:p>
          <w:p>
            <w:pPr>
              <w:autoSpaceDE w:val="0"/>
              <w:autoSpaceDN w:val="0"/>
              <w:adjustRightInd w:val="0"/>
              <w:ind w:left="107"/>
              <w:jc w:val="left"/>
              <w:rPr>
                <w:rFonts w:ascii="宋体" w:hAnsi="宋体" w:cs="宋?"/>
                <w:kern w:val="0"/>
                <w:szCs w:val="21"/>
              </w:rPr>
            </w:pPr>
            <w:r>
              <w:rPr>
                <w:rFonts w:hint="eastAsia" w:ascii="宋体" w:hAnsi="宋体" w:cs="宋?"/>
                <w:kern w:val="0"/>
                <w:szCs w:val="21"/>
              </w:rPr>
              <w:t>技术建议书：</w:t>
            </w:r>
            <w:r>
              <w:rPr>
                <w:rFonts w:ascii="宋体" w:hAnsi="宋体" w:cs="宋?"/>
                <w:kern w:val="0"/>
                <w:szCs w:val="21"/>
              </w:rPr>
              <w:t>3</w:t>
            </w:r>
            <w:r>
              <w:rPr>
                <w:rFonts w:hint="eastAsia" w:ascii="宋体" w:hAnsi="宋体" w:cs="宋?"/>
                <w:kern w:val="0"/>
                <w:szCs w:val="21"/>
              </w:rPr>
              <w:t>5</w:t>
            </w:r>
            <w:r>
              <w:rPr>
                <w:rFonts w:ascii="宋体" w:hAnsi="宋体" w:cs="宋?"/>
                <w:kern w:val="0"/>
                <w:szCs w:val="21"/>
              </w:rPr>
              <w:t>分</w:t>
            </w:r>
          </w:p>
          <w:p>
            <w:pPr>
              <w:autoSpaceDE w:val="0"/>
              <w:autoSpaceDN w:val="0"/>
              <w:adjustRightInd w:val="0"/>
              <w:ind w:left="107"/>
              <w:jc w:val="left"/>
              <w:rPr>
                <w:rFonts w:ascii="宋体" w:hAnsi="宋体"/>
                <w:kern w:val="0"/>
                <w:szCs w:val="21"/>
              </w:rPr>
            </w:pPr>
            <w:r>
              <w:rPr>
                <w:rFonts w:hint="eastAsia" w:ascii="宋体" w:hAnsi="宋体"/>
                <w:kern w:val="0"/>
                <w:szCs w:val="21"/>
              </w:rPr>
              <w:t>主要人员：2</w:t>
            </w:r>
            <w:r>
              <w:rPr>
                <w:rFonts w:ascii="宋体" w:hAnsi="宋体"/>
                <w:kern w:val="0"/>
                <w:szCs w:val="21"/>
              </w:rPr>
              <w:t>5</w:t>
            </w:r>
            <w:r>
              <w:rPr>
                <w:rFonts w:hint="eastAsia" w:ascii="宋体" w:hAnsi="宋体"/>
                <w:kern w:val="0"/>
                <w:szCs w:val="21"/>
              </w:rPr>
              <w:t>分</w:t>
            </w:r>
          </w:p>
          <w:p>
            <w:pPr>
              <w:autoSpaceDE w:val="0"/>
              <w:autoSpaceDN w:val="0"/>
              <w:adjustRightInd w:val="0"/>
              <w:ind w:left="107"/>
              <w:jc w:val="left"/>
              <w:rPr>
                <w:rFonts w:ascii="宋体" w:hAnsi="宋体"/>
                <w:kern w:val="0"/>
                <w:szCs w:val="21"/>
              </w:rPr>
            </w:pPr>
            <w:r>
              <w:rPr>
                <w:rFonts w:hint="eastAsia" w:ascii="宋体" w:hAnsi="宋体"/>
                <w:kern w:val="0"/>
                <w:szCs w:val="21"/>
              </w:rPr>
              <w:t>其他因素：</w:t>
            </w:r>
            <w:r>
              <w:rPr>
                <w:rFonts w:ascii="宋体" w:hAnsi="宋体"/>
                <w:kern w:val="0"/>
                <w:szCs w:val="21"/>
              </w:rPr>
              <w:t>30</w:t>
            </w:r>
            <w:r>
              <w:rPr>
                <w:rFonts w:hint="eastAsia" w:ascii="宋体" w:hAnsi="宋体"/>
                <w:kern w:val="0"/>
                <w:szCs w:val="21"/>
              </w:rPr>
              <w:t>分</w:t>
            </w:r>
          </w:p>
          <w:p>
            <w:pPr>
              <w:autoSpaceDE w:val="0"/>
              <w:autoSpaceDN w:val="0"/>
              <w:adjustRightInd w:val="0"/>
              <w:ind w:left="107"/>
              <w:jc w:val="left"/>
              <w:rPr>
                <w:rFonts w:ascii="宋体" w:hAnsi="宋体"/>
                <w:kern w:val="0"/>
                <w:szCs w:val="21"/>
              </w:rPr>
            </w:pPr>
          </w:p>
          <w:p>
            <w:pPr>
              <w:autoSpaceDE w:val="0"/>
              <w:autoSpaceDN w:val="0"/>
              <w:adjustRightInd w:val="0"/>
              <w:ind w:left="107"/>
              <w:jc w:val="left"/>
              <w:rPr>
                <w:rFonts w:ascii="宋体" w:hAnsi="宋体"/>
                <w:b/>
                <w:kern w:val="0"/>
                <w:szCs w:val="21"/>
              </w:rPr>
            </w:pPr>
            <w:r>
              <w:rPr>
                <w:rFonts w:hint="eastAsia" w:ascii="宋体" w:hAnsi="宋体"/>
                <w:b/>
                <w:kern w:val="0"/>
                <w:szCs w:val="21"/>
              </w:rPr>
              <w:t>第二信封（报价文件）评分分值构成：</w:t>
            </w:r>
          </w:p>
          <w:p>
            <w:pPr>
              <w:autoSpaceDE w:val="0"/>
              <w:autoSpaceDN w:val="0"/>
              <w:adjustRightInd w:val="0"/>
              <w:ind w:left="107"/>
              <w:jc w:val="left"/>
              <w:rPr>
                <w:rFonts w:ascii="宋体" w:hAnsi="宋体"/>
                <w:szCs w:val="21"/>
              </w:rPr>
            </w:pPr>
            <w:r>
              <w:rPr>
                <w:rFonts w:hint="eastAsia" w:ascii="宋体" w:hAnsi="宋体"/>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1050" w:type="dxa"/>
            <w:vAlign w:val="center"/>
          </w:tcPr>
          <w:p>
            <w:pPr>
              <w:ind w:right="113"/>
              <w:jc w:val="center"/>
              <w:rPr>
                <w:rFonts w:ascii="宋体" w:hAnsi="宋体"/>
                <w:szCs w:val="21"/>
              </w:rPr>
            </w:pPr>
            <w:r>
              <w:rPr>
                <w:rFonts w:hint="eastAsia" w:ascii="宋体" w:hAnsi="宋体"/>
                <w:szCs w:val="21"/>
              </w:rPr>
              <w:t>2.2.2</w:t>
            </w:r>
          </w:p>
        </w:tc>
        <w:tc>
          <w:tcPr>
            <w:tcW w:w="1250" w:type="dxa"/>
            <w:vAlign w:val="center"/>
          </w:tcPr>
          <w:p>
            <w:pPr>
              <w:jc w:val="center"/>
              <w:rPr>
                <w:rFonts w:ascii="宋体" w:hAnsi="宋体"/>
              </w:rPr>
            </w:pPr>
            <w:r>
              <w:rPr>
                <w:rFonts w:hint="eastAsia" w:ascii="宋体" w:hAnsi="宋体"/>
              </w:rPr>
              <w:t>评标基准价计算方法</w:t>
            </w:r>
          </w:p>
        </w:tc>
        <w:tc>
          <w:tcPr>
            <w:tcW w:w="712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50" w:type="dxa"/>
            <w:vAlign w:val="center"/>
          </w:tcPr>
          <w:p>
            <w:pPr>
              <w:ind w:right="113"/>
              <w:jc w:val="center"/>
              <w:rPr>
                <w:rFonts w:ascii="宋体" w:hAnsi="宋体"/>
                <w:szCs w:val="21"/>
              </w:rPr>
            </w:pPr>
            <w:r>
              <w:rPr>
                <w:rFonts w:hint="eastAsia" w:ascii="宋体" w:hAnsi="宋体"/>
                <w:szCs w:val="21"/>
              </w:rPr>
              <w:t>2.2.3</w:t>
            </w:r>
          </w:p>
        </w:tc>
        <w:tc>
          <w:tcPr>
            <w:tcW w:w="1250" w:type="dxa"/>
            <w:vAlign w:val="center"/>
          </w:tcPr>
          <w:p>
            <w:pPr>
              <w:ind w:left="-31" w:leftChars="-15" w:right="-77"/>
              <w:rPr>
                <w:rFonts w:ascii="宋体" w:hAnsi="宋体"/>
                <w:szCs w:val="21"/>
              </w:rPr>
            </w:pPr>
            <w:r>
              <w:rPr>
                <w:rFonts w:hint="eastAsia" w:ascii="宋体" w:hAnsi="宋体"/>
                <w:szCs w:val="21"/>
              </w:rPr>
              <w:t>评标价的偏差率计算公式</w:t>
            </w:r>
          </w:p>
        </w:tc>
        <w:tc>
          <w:tcPr>
            <w:tcW w:w="7128" w:type="dxa"/>
            <w:vAlign w:val="center"/>
          </w:tcPr>
          <w:p>
            <w:pPr>
              <w:jc w:val="left"/>
              <w:rPr>
                <w:rFonts w:ascii="宋体" w:hAnsi="宋体"/>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50" w:type="dxa"/>
            <w:vAlign w:val="center"/>
          </w:tcPr>
          <w:p>
            <w:pPr>
              <w:ind w:right="113"/>
              <w:jc w:val="center"/>
              <w:rPr>
                <w:rFonts w:ascii="宋体" w:hAnsi="宋体"/>
                <w:szCs w:val="21"/>
              </w:rPr>
            </w:pPr>
            <w:r>
              <w:rPr>
                <w:rFonts w:hint="eastAsia" w:ascii="宋体" w:hAnsi="宋体"/>
                <w:szCs w:val="21"/>
              </w:rPr>
              <w:t>3</w:t>
            </w:r>
            <w:r>
              <w:rPr>
                <w:rFonts w:ascii="宋体" w:hAnsi="宋体"/>
                <w:szCs w:val="21"/>
              </w:rPr>
              <w:t>.6.1</w:t>
            </w:r>
          </w:p>
        </w:tc>
        <w:tc>
          <w:tcPr>
            <w:tcW w:w="1250" w:type="dxa"/>
            <w:vAlign w:val="center"/>
          </w:tcPr>
          <w:p>
            <w:pPr>
              <w:ind w:left="-31" w:leftChars="-15" w:right="-77"/>
              <w:rPr>
                <w:rFonts w:ascii="宋体" w:hAnsi="宋体"/>
                <w:szCs w:val="21"/>
              </w:rPr>
            </w:pPr>
          </w:p>
        </w:tc>
        <w:tc>
          <w:tcPr>
            <w:tcW w:w="7128" w:type="dxa"/>
            <w:vAlign w:val="center"/>
          </w:tcPr>
          <w:p>
            <w:pPr>
              <w:spacing w:line="340" w:lineRule="exact"/>
              <w:ind w:right="113"/>
              <w:rPr>
                <w:rFonts w:ascii="宋体" w:hAnsi="宋体"/>
                <w:szCs w:val="21"/>
              </w:rPr>
            </w:pPr>
            <w:r>
              <w:rPr>
                <w:rFonts w:hint="eastAsia" w:ascii="宋体" w:hAnsi="宋体"/>
                <w:szCs w:val="21"/>
              </w:rPr>
              <w:t>本款修改为：</w:t>
            </w:r>
          </w:p>
          <w:p>
            <w:pPr>
              <w:spacing w:line="340" w:lineRule="exact"/>
              <w:ind w:right="113" w:firstLine="420" w:firstLineChars="200"/>
              <w:rPr>
                <w:rFonts w:ascii="宋体" w:hAnsi="宋体"/>
                <w:szCs w:val="21"/>
              </w:rPr>
            </w:pPr>
            <w:r>
              <w:rPr>
                <w:rFonts w:hint="eastAsia" w:ascii="宋体" w:hAnsi="宋体"/>
                <w:szCs w:val="21"/>
              </w:rPr>
              <w:t>在评标过程中，评标委员会应对以下信息进行查询：</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1）投标人名称和资质与“全国公路建设市场信用信息管理系统（http://glxy.mot.gov.cn/）”的复核结果一致；</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2）投标人信用情况网页截图内容与在“国家企业信用信息公示系统”中严重违法失信企业名单（不含分公司）或在“信用中国”网站中失信被执行人名单、经营异常名录、重大税收违法失信主体名单、政府采购严重违法失信名单（均不含分公司）的复核结果一致。</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 xml:space="preserve">3）投标人所附“近年完成的类似项目”业绩详细信息网页截图复印件与“全国公路建设市场信用信息管理系统（http://glxy.mot.gov.cn/）”的复核结果一致； </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rPr>
              <w:t>投标人所附总监理工程师交通运输部“全国公路建设市场信用信息管理系统 (http://glxy.mot.gov. cn) 中从业人员登记信息(含执业资格信息、履历信息)的网页截图和总监理工程师业绩的网页截图复印件与全国公路建设市场信用信息管理系统（http://glxy.mot.gov.cn/）的复核结果一致；</w:t>
            </w:r>
          </w:p>
          <w:p>
            <w:pPr>
              <w:spacing w:line="340" w:lineRule="exact"/>
              <w:ind w:right="113" w:firstLine="420" w:firstLineChars="200"/>
              <w:rPr>
                <w:rFonts w:ascii="宋体" w:hAnsi="宋体"/>
                <w:szCs w:val="21"/>
              </w:rPr>
            </w:pPr>
            <w:r>
              <w:rPr>
                <w:rFonts w:hint="eastAsia" w:ascii="宋体" w:hAnsi="宋体"/>
                <w:szCs w:val="21"/>
              </w:rPr>
              <w:t>上述（</w:t>
            </w:r>
            <w:r>
              <w:rPr>
                <w:rFonts w:ascii="宋体" w:hAnsi="宋体"/>
                <w:szCs w:val="21"/>
              </w:rPr>
              <w:t>1）、（2）、</w:t>
            </w:r>
            <w:r>
              <w:rPr>
                <w:rFonts w:hint="eastAsia" w:ascii="宋体" w:hAnsi="宋体"/>
                <w:szCs w:val="21"/>
              </w:rPr>
              <w:t>（3）、（4）</w:t>
            </w:r>
            <w:r>
              <w:rPr>
                <w:rFonts w:ascii="宋体" w:hAnsi="宋体"/>
                <w:szCs w:val="21"/>
              </w:rPr>
              <w:t>未提供相关网页截图或所附截图与复核结果不一致，评标委员会应否决其投标。</w:t>
            </w:r>
          </w:p>
          <w:p>
            <w:pPr>
              <w:spacing w:line="340" w:lineRule="exact"/>
              <w:ind w:right="113"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after="120" w:afterLines="50" w:line="288" w:lineRule="auto"/>
              <w:ind w:firstLine="420" w:firstLineChars="200"/>
              <w:rPr>
                <w:rFonts w:ascii="宋体" w:hAnsi="宋体"/>
              </w:rPr>
            </w:pPr>
            <w:r>
              <w:rPr>
                <w:rFonts w:hint="eastAsia" w:ascii="宋体" w:hAnsi="宋体"/>
                <w:szCs w:val="21"/>
              </w:rPr>
              <w:t>投标人应当及时核查并更新政府网站公开的相关信息，并承担由于</w:t>
            </w:r>
            <w:r>
              <w:rPr>
                <w:rFonts w:ascii="宋体" w:hAnsi="宋体"/>
                <w:szCs w:val="21"/>
              </w:rPr>
              <w:t>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28" w:type="dxa"/>
            <w:gridSpan w:val="3"/>
            <w:vAlign w:val="center"/>
          </w:tcPr>
          <w:p>
            <w:pPr>
              <w:spacing w:line="340" w:lineRule="exact"/>
              <w:ind w:right="113"/>
              <w:rPr>
                <w:rFonts w:ascii="宋体" w:hAnsi="宋体"/>
                <w:szCs w:val="21"/>
              </w:rPr>
            </w:pPr>
            <w:r>
              <w:rPr>
                <w:rFonts w:hint="eastAsia" w:ascii="宋体" w:hAnsi="宋体"/>
                <w:szCs w:val="21"/>
              </w:rPr>
              <w:t>需要补充的其他内容：无。</w:t>
            </w:r>
          </w:p>
        </w:tc>
      </w:tr>
    </w:tbl>
    <w:p>
      <w:pPr>
        <w:jc w:val="right"/>
        <w:rPr>
          <w:rFonts w:ascii="宋体" w:hAnsi="宋体"/>
          <w:sz w:val="24"/>
        </w:rPr>
      </w:pPr>
    </w:p>
    <w:p>
      <w:pPr>
        <w:jc w:val="right"/>
        <w:rPr>
          <w:rFonts w:ascii="宋体" w:hAnsi="宋体"/>
          <w:szCs w:val="21"/>
        </w:rPr>
      </w:pPr>
      <w:r>
        <w:rPr>
          <w:rFonts w:ascii="宋体" w:hAnsi="宋体"/>
          <w:sz w:val="24"/>
        </w:rPr>
        <w:br w:type="page"/>
      </w:r>
      <w:r>
        <w:rPr>
          <w:rFonts w:hint="eastAsia" w:ascii="宋体" w:hAnsi="宋体"/>
          <w:sz w:val="24"/>
        </w:rPr>
        <w:t>续上表</w:t>
      </w:r>
    </w:p>
    <w:tbl>
      <w:tblPr>
        <w:tblStyle w:val="4"/>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39"/>
        <w:gridCol w:w="604"/>
        <w:gridCol w:w="1314"/>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blHeader/>
          <w:jc w:val="center"/>
        </w:trPr>
        <w:tc>
          <w:tcPr>
            <w:tcW w:w="4156" w:type="dxa"/>
            <w:gridSpan w:val="5"/>
            <w:vAlign w:val="center"/>
          </w:tcPr>
          <w:p>
            <w:pPr>
              <w:spacing w:line="160" w:lineRule="atLeast"/>
              <w:jc w:val="center"/>
              <w:rPr>
                <w:rFonts w:ascii="宋体" w:hAnsi="宋体" w:cs="Courier New"/>
                <w:szCs w:val="21"/>
              </w:rPr>
            </w:pPr>
            <w:bookmarkStart w:id="18" w:name="_Hlk71130285"/>
            <w:r>
              <w:rPr>
                <w:rFonts w:hint="eastAsia" w:ascii="宋体" w:hAnsi="宋体" w:cs="Courier New"/>
                <w:szCs w:val="21"/>
              </w:rPr>
              <w:t>评分因素与权重分值</w:t>
            </w:r>
          </w:p>
        </w:tc>
        <w:tc>
          <w:tcPr>
            <w:tcW w:w="5496" w:type="dxa"/>
            <w:gridSpan w:val="2"/>
            <w:vMerge w:val="restart"/>
            <w:vAlign w:val="center"/>
          </w:tcPr>
          <w:p>
            <w:pPr>
              <w:spacing w:line="160" w:lineRule="atLeast"/>
              <w:jc w:val="center"/>
              <w:rPr>
                <w:rFonts w:ascii="宋体" w:hAnsi="宋体" w:cs="Courier New"/>
                <w:szCs w:val="21"/>
              </w:rPr>
            </w:pPr>
            <w:r>
              <w:rPr>
                <w:rFonts w:hint="eastAsia" w:ascii="宋体" w:hAnsi="宋体" w:cs="Courier New"/>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评分因素</w:t>
            </w:r>
          </w:p>
        </w:tc>
        <w:tc>
          <w:tcPr>
            <w:tcW w:w="831" w:type="dxa"/>
            <w:tcBorders>
              <w:top w:val="single" w:color="auto" w:sz="4" w:space="0"/>
              <w:left w:val="single" w:color="auto" w:sz="4" w:space="0"/>
              <w:bottom w:val="single" w:color="auto" w:sz="4" w:space="0"/>
              <w:right w:val="single" w:color="auto" w:sz="4" w:space="0"/>
            </w:tcBorders>
            <w:vAlign w:val="center"/>
          </w:tcPr>
          <w:p>
            <w:pPr>
              <w:spacing w:line="160" w:lineRule="atLeast"/>
              <w:ind w:left="-40" w:leftChars="-19" w:right="-31" w:rightChars="-15" w:firstLine="1"/>
              <w:jc w:val="center"/>
              <w:rPr>
                <w:rFonts w:ascii="宋体" w:hAnsi="宋体" w:cs="Courier New"/>
                <w:szCs w:val="21"/>
              </w:rPr>
            </w:pPr>
            <w:r>
              <w:rPr>
                <w:rFonts w:hint="eastAsia" w:ascii="宋体" w:hAnsi="宋体" w:cs="Courier New"/>
                <w:szCs w:val="21"/>
              </w:rPr>
              <w:t>评分因素 权重分值</w:t>
            </w:r>
          </w:p>
        </w:tc>
        <w:tc>
          <w:tcPr>
            <w:tcW w:w="1239"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ascii="宋体" w:hAnsi="宋体" w:cs="宋体"/>
                <w:szCs w:val="21"/>
                <w:shd w:val="clear" w:color="auto" w:fill="FFFFFF"/>
                <w:lang w:val="zh-CN" w:bidi="zh-CN"/>
              </w:rPr>
              <w:t>各评分因素细分项</w:t>
            </w:r>
          </w:p>
        </w:tc>
        <w:tc>
          <w:tcPr>
            <w:tcW w:w="604" w:type="dxa"/>
            <w:tcBorders>
              <w:lef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分值</w:t>
            </w:r>
          </w:p>
        </w:tc>
        <w:tc>
          <w:tcPr>
            <w:tcW w:w="5496" w:type="dxa"/>
            <w:gridSpan w:val="2"/>
            <w:vMerge w:val="continue"/>
            <w:vAlign w:val="center"/>
          </w:tcPr>
          <w:p>
            <w:pPr>
              <w:spacing w:line="160" w:lineRule="atLeast"/>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1"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2.2.4（1）</w:t>
            </w:r>
          </w:p>
        </w:tc>
        <w:tc>
          <w:tcPr>
            <w:tcW w:w="741"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技术建议书</w:t>
            </w:r>
          </w:p>
        </w:tc>
        <w:tc>
          <w:tcPr>
            <w:tcW w:w="831" w:type="dxa"/>
            <w:vMerge w:val="restart"/>
            <w:tcBorders>
              <w:top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3</w:t>
            </w:r>
            <w:r>
              <w:rPr>
                <w:rFonts w:hint="eastAsia" w:ascii="宋体" w:hAnsi="宋体" w:cs="Courier New"/>
                <w:szCs w:val="21"/>
              </w:rPr>
              <w:t>5分</w:t>
            </w:r>
          </w:p>
        </w:tc>
        <w:tc>
          <w:tcPr>
            <w:tcW w:w="1239"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监理大纲（或监理方案）和措施</w:t>
            </w:r>
          </w:p>
        </w:tc>
        <w:tc>
          <w:tcPr>
            <w:tcW w:w="604" w:type="dxa"/>
            <w:vMerge w:val="restart"/>
            <w:vAlign w:val="center"/>
          </w:tcPr>
          <w:p>
            <w:pPr>
              <w:spacing w:line="160" w:lineRule="atLeast"/>
              <w:ind w:left="33" w:leftChars="-48" w:right="-31" w:rightChars="-15" w:hanging="134" w:hangingChars="64"/>
              <w:jc w:val="center"/>
              <w:rPr>
                <w:rFonts w:ascii="宋体" w:hAnsi="宋体" w:cs="Courier New"/>
                <w:szCs w:val="21"/>
              </w:rPr>
            </w:pPr>
            <w:r>
              <w:rPr>
                <w:rFonts w:ascii="宋体" w:hAnsi="宋体" w:cs="Courier New"/>
                <w:szCs w:val="21"/>
              </w:rPr>
              <w:t>20</w:t>
            </w:r>
            <w:r>
              <w:rPr>
                <w:rFonts w:hint="eastAsia" w:ascii="宋体" w:hAnsi="宋体" w:cs="Courier New"/>
                <w:szCs w:val="21"/>
              </w:rPr>
              <w:t>分</w:t>
            </w:r>
          </w:p>
        </w:tc>
        <w:tc>
          <w:tcPr>
            <w:tcW w:w="1314" w:type="dxa"/>
            <w:vMerge w:val="restart"/>
            <w:vAlign w:val="center"/>
          </w:tcPr>
          <w:p>
            <w:pPr>
              <w:adjustRightInd w:val="0"/>
              <w:snapToGrid w:val="0"/>
              <w:rPr>
                <w:rFonts w:ascii="宋体"/>
                <w:spacing w:val="-10"/>
                <w:szCs w:val="21"/>
              </w:rPr>
            </w:pPr>
            <w:r>
              <w:rPr>
                <w:rFonts w:hint="eastAsia" w:ascii="宋体"/>
                <w:spacing w:val="-10"/>
                <w:szCs w:val="21"/>
              </w:rPr>
              <w:t>对本招标项目监理工作范围和任务理解(</w:t>
            </w:r>
            <w:r>
              <w:rPr>
                <w:rFonts w:ascii="宋体"/>
                <w:spacing w:val="-10"/>
                <w:szCs w:val="21"/>
              </w:rPr>
              <w:t>5</w:t>
            </w:r>
            <w:r>
              <w:rPr>
                <w:rFonts w:hint="eastAsia" w:ascii="宋体"/>
                <w:spacing w:val="-10"/>
                <w:szCs w:val="21"/>
              </w:rPr>
              <w:t>分)</w:t>
            </w:r>
          </w:p>
        </w:tc>
        <w:tc>
          <w:tcPr>
            <w:tcW w:w="4182" w:type="dxa"/>
            <w:vAlign w:val="center"/>
          </w:tcPr>
          <w:p>
            <w:pPr>
              <w:adjustRightInd w:val="0"/>
              <w:snapToGrid w:val="0"/>
              <w:rPr>
                <w:rFonts w:ascii="宋体"/>
                <w:szCs w:val="21"/>
              </w:rPr>
            </w:pPr>
            <w:r>
              <w:rPr>
                <w:rFonts w:hint="eastAsia" w:ascii="宋体"/>
                <w:szCs w:val="21"/>
              </w:rPr>
              <w:t>理解准确，思路清晰，全面、合理，符合项目要求，得</w:t>
            </w:r>
            <w:r>
              <w:rPr>
                <w:rFonts w:ascii="宋体"/>
                <w:szCs w:val="21"/>
              </w:rPr>
              <w:t>4</w:t>
            </w:r>
            <w:r>
              <w:rPr>
                <w:rFonts w:hint="eastAsia" w:ascii="宋体"/>
                <w:szCs w:val="21"/>
              </w:rPr>
              <w:t>-</w:t>
            </w:r>
            <w:r>
              <w:rPr>
                <w:rFonts w:ascii="宋体"/>
                <w:szCs w:val="21"/>
              </w:rPr>
              <w:t>5</w:t>
            </w:r>
            <w:r>
              <w:rPr>
                <w:rFonts w:hint="eastAsia" w:asci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center"/>
              <w:rPr>
                <w:rFonts w:ascii="宋体" w:hAnsi="宋体" w:cs="Courier New"/>
                <w:szCs w:val="21"/>
              </w:rPr>
            </w:pPr>
          </w:p>
        </w:tc>
        <w:tc>
          <w:tcPr>
            <w:tcW w:w="4182" w:type="dxa"/>
            <w:vAlign w:val="center"/>
          </w:tcPr>
          <w:p>
            <w:pPr>
              <w:jc w:val="left"/>
              <w:rPr>
                <w:rFonts w:ascii="宋体" w:hAnsi="宋体" w:cs="Courier New"/>
                <w:spacing w:val="-4"/>
                <w:szCs w:val="21"/>
              </w:rPr>
            </w:pPr>
            <w:r>
              <w:rPr>
                <w:rFonts w:hint="eastAsia" w:ascii="宋体" w:cs="Courier New"/>
                <w:szCs w:val="21"/>
              </w:rPr>
              <w:t>理解较准确，思路较清晰，得</w:t>
            </w:r>
            <w:r>
              <w:rPr>
                <w:rFonts w:ascii="宋体" w:cs="Courier New"/>
                <w:szCs w:val="21"/>
              </w:rPr>
              <w:t>3</w:t>
            </w:r>
            <w:r>
              <w:rPr>
                <w:rFonts w:hint="eastAsia" w:ascii="宋体" w:cs="Courier New"/>
                <w:szCs w:val="21"/>
              </w:rPr>
              <w:t>-</w:t>
            </w:r>
            <w:r>
              <w:rPr>
                <w:rFonts w:ascii="宋体" w:cs="Courier New"/>
                <w:szCs w:val="21"/>
              </w:rPr>
              <w:t>4</w:t>
            </w:r>
            <w:r>
              <w:rPr>
                <w:rFonts w:hint="eastAsia" w:asci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center"/>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cs="Courier New"/>
                <w:szCs w:val="21"/>
              </w:rPr>
              <w:t>理解基本准确，得</w:t>
            </w:r>
            <w:r>
              <w:rPr>
                <w:rFonts w:ascii="宋体" w:cs="Courier New"/>
                <w:szCs w:val="21"/>
              </w:rPr>
              <w:t>3</w:t>
            </w:r>
            <w:r>
              <w:rPr>
                <w:rFonts w:hint="eastAsia" w:asci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restart"/>
            <w:vAlign w:val="center"/>
          </w:tcPr>
          <w:p>
            <w:pPr>
              <w:jc w:val="left"/>
              <w:rPr>
                <w:rFonts w:ascii="宋体" w:hAnsi="宋体" w:cs="Courier New"/>
                <w:szCs w:val="21"/>
              </w:rPr>
            </w:pPr>
            <w:r>
              <w:rPr>
                <w:rFonts w:hint="eastAsia" w:ascii="宋体" w:hAnsi="宋体" w:cs="Courier New"/>
                <w:szCs w:val="21"/>
              </w:rPr>
              <w:t>监理方案及措施（</w:t>
            </w:r>
            <w:r>
              <w:rPr>
                <w:rFonts w:ascii="宋体" w:hAnsi="宋体" w:cs="Courier New"/>
                <w:szCs w:val="21"/>
              </w:rPr>
              <w:t>10</w:t>
            </w:r>
            <w:r>
              <w:rPr>
                <w:rFonts w:hint="eastAsia" w:ascii="宋体" w:hAnsi="宋体" w:cs="Courier New"/>
                <w:szCs w:val="21"/>
              </w:rPr>
              <w:t>分）</w:t>
            </w:r>
          </w:p>
        </w:tc>
        <w:tc>
          <w:tcPr>
            <w:tcW w:w="4182" w:type="dxa"/>
            <w:vAlign w:val="center"/>
          </w:tcPr>
          <w:p>
            <w:pPr>
              <w:jc w:val="left"/>
              <w:rPr>
                <w:rFonts w:ascii="宋体" w:hAnsi="宋体" w:cs="Courier New"/>
                <w:szCs w:val="21"/>
              </w:rPr>
            </w:pPr>
            <w:r>
              <w:rPr>
                <w:rFonts w:hint="eastAsia" w:ascii="宋体" w:hAnsi="宋体" w:cs="Courier New"/>
                <w:szCs w:val="21"/>
              </w:rPr>
              <w:t>方案详尽，措施具体全面合理，可行性强，得</w:t>
            </w:r>
            <w:r>
              <w:rPr>
                <w:rFonts w:ascii="宋体" w:hAnsi="宋体" w:cs="Courier New"/>
                <w:szCs w:val="21"/>
              </w:rPr>
              <w:t>8</w:t>
            </w:r>
            <w:r>
              <w:rPr>
                <w:rFonts w:hint="eastAsia" w:ascii="宋体" w:hAnsi="宋体" w:cs="Courier New"/>
                <w:szCs w:val="21"/>
              </w:rPr>
              <w:t>-</w:t>
            </w:r>
            <w:r>
              <w:rPr>
                <w:rFonts w:ascii="宋体" w:hAnsi="宋体" w:cs="Courier New"/>
                <w:szCs w:val="21"/>
              </w:rPr>
              <w:t>10</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jc w:val="left"/>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hAnsi="宋体" w:cs="Courier New"/>
                <w:szCs w:val="21"/>
              </w:rPr>
              <w:t>方案较详尽，措施合理，可行性较好，得</w:t>
            </w:r>
            <w:r>
              <w:rPr>
                <w:rFonts w:ascii="宋体" w:hAnsi="宋体" w:cs="Courier New"/>
                <w:szCs w:val="21"/>
              </w:rPr>
              <w:t>6</w:t>
            </w:r>
            <w:r>
              <w:rPr>
                <w:rFonts w:hint="eastAsia" w:ascii="宋体" w:hAnsi="宋体" w:cs="Courier New"/>
                <w:szCs w:val="21"/>
              </w:rPr>
              <w:t>-</w:t>
            </w:r>
            <w:r>
              <w:rPr>
                <w:rFonts w:ascii="宋体" w:hAnsi="宋体" w:cs="Courier New"/>
                <w:szCs w:val="21"/>
              </w:rPr>
              <w:t>8</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jc w:val="left"/>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hAnsi="宋体" w:cs="Courier New"/>
                <w:szCs w:val="21"/>
              </w:rPr>
              <w:t>方案一般，措施基本全面，可行性一般，得</w:t>
            </w:r>
            <w:r>
              <w:rPr>
                <w:rFonts w:ascii="宋体" w:hAnsi="宋体" w:cs="Courier New"/>
                <w:szCs w:val="21"/>
              </w:rPr>
              <w:t>6</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restart"/>
            <w:vAlign w:val="center"/>
          </w:tcPr>
          <w:p>
            <w:pPr>
              <w:adjustRightInd w:val="0"/>
              <w:snapToGrid w:val="0"/>
              <w:rPr>
                <w:rFonts w:ascii="宋体"/>
                <w:spacing w:val="-10"/>
                <w:szCs w:val="21"/>
              </w:rPr>
            </w:pPr>
            <w:r>
              <w:rPr>
                <w:rFonts w:hint="eastAsia" w:ascii="宋体"/>
                <w:szCs w:val="21"/>
              </w:rPr>
              <w:t>监理工作程序(</w:t>
            </w:r>
            <w:r>
              <w:rPr>
                <w:rFonts w:ascii="宋体"/>
                <w:szCs w:val="21"/>
              </w:rPr>
              <w:t>5</w:t>
            </w:r>
            <w:r>
              <w:rPr>
                <w:rFonts w:hint="eastAsia" w:ascii="宋体"/>
                <w:szCs w:val="21"/>
              </w:rPr>
              <w:t>分)</w:t>
            </w:r>
          </w:p>
        </w:tc>
        <w:tc>
          <w:tcPr>
            <w:tcW w:w="4182" w:type="dxa"/>
            <w:vAlign w:val="center"/>
          </w:tcPr>
          <w:p>
            <w:pPr>
              <w:adjustRightInd w:val="0"/>
              <w:snapToGrid w:val="0"/>
              <w:rPr>
                <w:rFonts w:ascii="宋体"/>
                <w:szCs w:val="21"/>
              </w:rPr>
            </w:pPr>
            <w:r>
              <w:rPr>
                <w:rFonts w:hint="eastAsia" w:ascii="宋体"/>
                <w:szCs w:val="21"/>
              </w:rPr>
              <w:t>内容齐全，阶段划分合理、正确，可实施性强，得</w:t>
            </w:r>
            <w:r>
              <w:rPr>
                <w:rFonts w:ascii="宋体"/>
                <w:szCs w:val="21"/>
              </w:rPr>
              <w:t>4</w:t>
            </w:r>
            <w:r>
              <w:rPr>
                <w:rFonts w:hint="eastAsia" w:ascii="宋体"/>
                <w:szCs w:val="21"/>
              </w:rPr>
              <w:t>-</w:t>
            </w:r>
            <w:r>
              <w:rPr>
                <w:rFonts w:ascii="宋体"/>
                <w:szCs w:val="21"/>
              </w:rPr>
              <w:t>5</w:t>
            </w:r>
            <w:r>
              <w:rPr>
                <w:rFonts w:hint="eastAsia" w:asci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left"/>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cs="Courier New"/>
                <w:szCs w:val="21"/>
              </w:rPr>
              <w:t>内容较齐全，阶段划分较合理，可实施性较好，得</w:t>
            </w:r>
            <w:r>
              <w:rPr>
                <w:rFonts w:ascii="宋体" w:cs="Courier New"/>
                <w:szCs w:val="21"/>
              </w:rPr>
              <w:t>3</w:t>
            </w:r>
            <w:r>
              <w:rPr>
                <w:rFonts w:hint="eastAsia" w:ascii="宋体" w:cs="Courier New"/>
                <w:szCs w:val="21"/>
              </w:rPr>
              <w:t>-</w:t>
            </w:r>
            <w:r>
              <w:rPr>
                <w:rFonts w:ascii="宋体" w:cs="Courier New"/>
                <w:szCs w:val="21"/>
              </w:rPr>
              <w:t>4</w:t>
            </w:r>
            <w:r>
              <w:rPr>
                <w:rFonts w:hint="eastAsia" w:asci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left"/>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cs="Courier New"/>
                <w:szCs w:val="21"/>
              </w:rPr>
              <w:t>内容基本齐全，阶段划分基本合理，可实施性一般，得</w:t>
            </w:r>
            <w:r>
              <w:rPr>
                <w:rFonts w:ascii="宋体" w:cs="Courier New"/>
                <w:szCs w:val="21"/>
              </w:rPr>
              <w:t>3</w:t>
            </w:r>
            <w:r>
              <w:rPr>
                <w:rFonts w:hint="eastAsia" w:asci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本工程监理工作的重点与难点分析</w:t>
            </w:r>
          </w:p>
        </w:tc>
        <w:tc>
          <w:tcPr>
            <w:tcW w:w="604" w:type="dxa"/>
            <w:vMerge w:val="restart"/>
            <w:vAlign w:val="center"/>
          </w:tcPr>
          <w:p>
            <w:pPr>
              <w:spacing w:line="160" w:lineRule="atLeast"/>
              <w:ind w:left="33" w:leftChars="-48" w:right="-31" w:rightChars="-15" w:hanging="134" w:hangingChars="64"/>
              <w:jc w:val="center"/>
              <w:rPr>
                <w:rFonts w:ascii="宋体" w:hAnsi="宋体" w:cs="Courier New"/>
                <w:szCs w:val="21"/>
              </w:rPr>
            </w:pPr>
            <w:r>
              <w:rPr>
                <w:rFonts w:hint="eastAsia" w:ascii="宋体" w:hAnsi="宋体" w:cs="Courier New"/>
                <w:szCs w:val="21"/>
              </w:rPr>
              <w:t>10分</w:t>
            </w:r>
          </w:p>
        </w:tc>
        <w:tc>
          <w:tcPr>
            <w:tcW w:w="5496" w:type="dxa"/>
            <w:gridSpan w:val="2"/>
            <w:vAlign w:val="center"/>
          </w:tcPr>
          <w:p>
            <w:pPr>
              <w:adjustRightInd w:val="0"/>
              <w:snapToGrid w:val="0"/>
              <w:rPr>
                <w:rFonts w:ascii="宋体"/>
                <w:szCs w:val="21"/>
              </w:rPr>
            </w:pPr>
            <w:r>
              <w:rPr>
                <w:rFonts w:hint="eastAsia" w:ascii="宋体"/>
                <w:szCs w:val="21"/>
              </w:rPr>
              <w:t>分析透彻，对难点、重点把握准确；处理措施科学合理，有效可行，得8-10分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szCs w:val="21"/>
              </w:rPr>
            </w:pPr>
            <w:r>
              <w:rPr>
                <w:rFonts w:hint="eastAsia" w:ascii="宋体"/>
                <w:szCs w:val="21"/>
              </w:rPr>
              <w:t>分析较透彻，对难点、重点把握较准确；处理措施合理，可行，得6-8分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szCs w:val="21"/>
              </w:rPr>
            </w:pPr>
            <w:r>
              <w:rPr>
                <w:rFonts w:hint="eastAsia" w:ascii="宋体"/>
                <w:szCs w:val="21"/>
              </w:rPr>
              <w:t>分析一般，对难点、重点把握一般；处理措施基本合理，基本可行，得</w:t>
            </w:r>
            <w:r>
              <w:rPr>
                <w:rFonts w:ascii="宋体"/>
                <w:szCs w:val="21"/>
              </w:rPr>
              <w:t>6</w:t>
            </w:r>
            <w:r>
              <w:rPr>
                <w:rFonts w:hint="eastAsia" w:asci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对本工程的建议</w:t>
            </w:r>
          </w:p>
        </w:tc>
        <w:tc>
          <w:tcPr>
            <w:tcW w:w="604"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5分</w:t>
            </w:r>
          </w:p>
        </w:tc>
        <w:tc>
          <w:tcPr>
            <w:tcW w:w="5496" w:type="dxa"/>
            <w:gridSpan w:val="2"/>
            <w:vAlign w:val="center"/>
          </w:tcPr>
          <w:p>
            <w:pPr>
              <w:adjustRightInd w:val="0"/>
              <w:snapToGrid w:val="0"/>
              <w:rPr>
                <w:rFonts w:ascii="宋体"/>
                <w:szCs w:val="21"/>
              </w:rPr>
            </w:pPr>
            <w:r>
              <w:rPr>
                <w:rFonts w:hint="eastAsia" w:ascii="宋体"/>
                <w:szCs w:val="21"/>
              </w:rPr>
              <w:t>建议措施具体全面、可靠、合理，可实施性强，</w:t>
            </w:r>
            <w:r>
              <w:rPr>
                <w:rFonts w:ascii="宋体"/>
                <w:szCs w:val="21"/>
              </w:rPr>
              <w:t>4</w:t>
            </w:r>
            <w:r>
              <w:rPr>
                <w:rFonts w:hint="eastAsia" w:ascii="宋体"/>
                <w:szCs w:val="21"/>
              </w:rPr>
              <w:t>-</w:t>
            </w:r>
            <w:r>
              <w:rPr>
                <w:rFonts w:ascii="宋体"/>
                <w:szCs w:val="21"/>
              </w:rPr>
              <w:t>5</w:t>
            </w:r>
            <w:r>
              <w:rPr>
                <w:rFonts w:hint="eastAsia" w:asci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szCs w:val="21"/>
              </w:rPr>
            </w:pPr>
            <w:r>
              <w:rPr>
                <w:rFonts w:hint="eastAsia" w:ascii="宋体"/>
                <w:szCs w:val="21"/>
              </w:rPr>
              <w:t>建议措施全面、合理，可实施性较好，得</w:t>
            </w:r>
            <w:r>
              <w:rPr>
                <w:rFonts w:ascii="宋体"/>
                <w:szCs w:val="21"/>
              </w:rPr>
              <w:t>3</w:t>
            </w:r>
            <w:r>
              <w:rPr>
                <w:rFonts w:hint="eastAsia" w:ascii="宋体"/>
                <w:szCs w:val="21"/>
              </w:rPr>
              <w:t>-</w:t>
            </w:r>
            <w:r>
              <w:rPr>
                <w:rFonts w:ascii="宋体"/>
                <w:szCs w:val="21"/>
              </w:rPr>
              <w:t>4</w:t>
            </w:r>
            <w:r>
              <w:rPr>
                <w:rFonts w:hint="eastAsia" w:asci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szCs w:val="21"/>
              </w:rPr>
            </w:pPr>
            <w:r>
              <w:rPr>
                <w:rFonts w:hint="eastAsia" w:ascii="宋体"/>
                <w:szCs w:val="21"/>
              </w:rPr>
              <w:t>建议措施基本全面、合理，可实施性一般，得</w:t>
            </w:r>
            <w:r>
              <w:rPr>
                <w:rFonts w:ascii="宋体"/>
                <w:szCs w:val="21"/>
              </w:rPr>
              <w:t>3</w:t>
            </w:r>
            <w:r>
              <w:rPr>
                <w:rFonts w:hint="eastAsia" w:asci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2.2.4（2）</w:t>
            </w:r>
          </w:p>
        </w:tc>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主要人员</w:t>
            </w:r>
          </w:p>
        </w:tc>
        <w:tc>
          <w:tcPr>
            <w:tcW w:w="831" w:type="dxa"/>
            <w:tcBorders>
              <w:top w:val="nil"/>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2</w:t>
            </w:r>
            <w:r>
              <w:rPr>
                <w:rFonts w:ascii="宋体" w:hAnsi="宋体" w:cs="Courier New"/>
                <w:szCs w:val="21"/>
              </w:rPr>
              <w:t>5</w:t>
            </w:r>
            <w:r>
              <w:rPr>
                <w:rFonts w:hint="eastAsia" w:ascii="宋体" w:hAnsi="宋体" w:cs="Courier New"/>
                <w:szCs w:val="21"/>
              </w:rPr>
              <w:t>分</w:t>
            </w:r>
          </w:p>
        </w:tc>
        <w:tc>
          <w:tcPr>
            <w:tcW w:w="1239" w:type="dxa"/>
            <w:tcBorders>
              <w:bottom w:val="single" w:color="auto" w:sz="4" w:space="0"/>
            </w:tcBorders>
            <w:vAlign w:val="center"/>
          </w:tcPr>
          <w:p>
            <w:pPr>
              <w:spacing w:line="160" w:lineRule="atLeast"/>
              <w:jc w:val="center"/>
              <w:rPr>
                <w:rFonts w:ascii="宋体" w:hAnsi="宋体" w:cs="Courier New"/>
                <w:szCs w:val="21"/>
              </w:rPr>
            </w:pPr>
            <w:r>
              <w:rPr>
                <w:rFonts w:hint="eastAsia" w:ascii="宋体" w:hAnsi="宋体" w:cs="宋体"/>
                <w:sz w:val="20"/>
                <w:szCs w:val="20"/>
                <w:shd w:val="clear" w:color="auto" w:fill="FFFFFF"/>
                <w:lang w:val="zh-CN" w:bidi="zh-CN"/>
              </w:rPr>
              <w:t>总监理工程师任职资格与</w:t>
            </w:r>
            <w:r>
              <w:rPr>
                <w:rFonts w:ascii="宋体" w:hAnsi="宋体" w:cs="宋体"/>
                <w:sz w:val="20"/>
                <w:szCs w:val="20"/>
                <w:shd w:val="clear" w:color="auto" w:fill="FFFFFF"/>
                <w:lang w:val="zh-CN" w:bidi="zh-CN"/>
              </w:rPr>
              <w:t>业绩</w:t>
            </w:r>
          </w:p>
        </w:tc>
        <w:tc>
          <w:tcPr>
            <w:tcW w:w="604" w:type="dxa"/>
            <w:tcBorders>
              <w:bottom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25</w:t>
            </w:r>
            <w:r>
              <w:rPr>
                <w:rFonts w:hint="eastAsia" w:ascii="宋体" w:hAnsi="宋体" w:cs="Courier New"/>
                <w:szCs w:val="21"/>
              </w:rPr>
              <w:t>分</w:t>
            </w:r>
          </w:p>
        </w:tc>
        <w:tc>
          <w:tcPr>
            <w:tcW w:w="5496" w:type="dxa"/>
            <w:gridSpan w:val="2"/>
            <w:tcBorders>
              <w:bottom w:val="single" w:color="auto" w:sz="4" w:space="0"/>
            </w:tcBorders>
            <w:vAlign w:val="center"/>
          </w:tcPr>
          <w:p>
            <w:pPr>
              <w:jc w:val="left"/>
              <w:rPr>
                <w:rFonts w:ascii="宋体" w:hAnsi="宋体"/>
                <w:szCs w:val="21"/>
              </w:rPr>
            </w:pPr>
            <w:r>
              <w:rPr>
                <w:rFonts w:hint="eastAsia" w:ascii="宋体" w:hAnsi="宋体"/>
                <w:szCs w:val="21"/>
              </w:rPr>
              <w:t>满足资格审查条件要求得1</w:t>
            </w:r>
            <w:r>
              <w:rPr>
                <w:rFonts w:ascii="宋体" w:hAnsi="宋体"/>
                <w:szCs w:val="21"/>
              </w:rPr>
              <w:t>5</w:t>
            </w:r>
            <w:r>
              <w:rPr>
                <w:rFonts w:hint="eastAsia" w:ascii="宋体" w:hAnsi="宋体"/>
                <w:szCs w:val="21"/>
              </w:rPr>
              <w:t>分；</w:t>
            </w:r>
          </w:p>
          <w:p>
            <w:pPr>
              <w:jc w:val="left"/>
              <w:rPr>
                <w:rFonts w:ascii="宋体" w:hAnsi="宋体"/>
                <w:szCs w:val="21"/>
              </w:rPr>
            </w:pPr>
            <w:r>
              <w:rPr>
                <w:rFonts w:hint="eastAsia" w:ascii="宋体" w:hAnsi="宋体"/>
                <w:szCs w:val="21"/>
              </w:rPr>
              <w:t>每增加1项满足附录</w:t>
            </w:r>
            <w:r>
              <w:rPr>
                <w:rFonts w:ascii="宋体" w:hAnsi="宋体"/>
                <w:szCs w:val="21"/>
              </w:rPr>
              <w:t>4</w:t>
            </w:r>
            <w:r>
              <w:rPr>
                <w:rFonts w:hint="eastAsia" w:ascii="宋体" w:hAnsi="宋体"/>
                <w:szCs w:val="21"/>
              </w:rPr>
              <w:t>资格审查条件(总监理工程师最低要求)的业绩加</w:t>
            </w:r>
            <w:r>
              <w:rPr>
                <w:rFonts w:ascii="宋体" w:hAnsi="宋体"/>
                <w:szCs w:val="21"/>
              </w:rPr>
              <w:t>10</w:t>
            </w:r>
            <w:r>
              <w:rPr>
                <w:rFonts w:hint="eastAsia" w:ascii="宋体" w:hAnsi="宋体"/>
                <w:szCs w:val="21"/>
              </w:rPr>
              <w:t>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2.2.4（3）</w:t>
            </w:r>
          </w:p>
        </w:tc>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评标价</w:t>
            </w:r>
          </w:p>
        </w:tc>
        <w:tc>
          <w:tcPr>
            <w:tcW w:w="831" w:type="dxa"/>
            <w:tcBorders>
              <w:top w:val="nil"/>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10分</w:t>
            </w:r>
          </w:p>
        </w:tc>
        <w:tc>
          <w:tcPr>
            <w:tcW w:w="7339" w:type="dxa"/>
            <w:gridSpan w:val="4"/>
            <w:tcBorders>
              <w:bottom w:val="single" w:color="auto" w:sz="4" w:space="0"/>
            </w:tcBorders>
            <w:vAlign w:val="center"/>
          </w:tcPr>
          <w:p>
            <w:pPr>
              <w:jc w:val="left"/>
              <w:rPr>
                <w:rFonts w:ascii="宋体" w:hAnsi="宋体"/>
                <w:szCs w:val="21"/>
              </w:rPr>
            </w:pPr>
            <w:r>
              <w:rPr>
                <w:rFonts w:hint="eastAsia" w:ascii="宋体" w:hAnsi="宋体"/>
                <w:szCs w:val="21"/>
              </w:rPr>
              <w:t>评标价得分计算公式：</w:t>
            </w:r>
          </w:p>
          <w:p>
            <w:pPr>
              <w:jc w:val="left"/>
              <w:rPr>
                <w:rFonts w:ascii="宋体" w:hAnsi="宋体"/>
                <w:szCs w:val="21"/>
              </w:rPr>
            </w:pPr>
            <w:r>
              <w:rPr>
                <w:rFonts w:hint="eastAsia" w:ascii="宋体" w:hAnsi="宋体"/>
                <w:szCs w:val="21"/>
              </w:rPr>
              <w:t>（1）如果投标人的评标价＞评标基准价，则评标价得分=F-偏差率×100×E1；</w:t>
            </w:r>
          </w:p>
          <w:p>
            <w:pPr>
              <w:jc w:val="left"/>
              <w:rPr>
                <w:rFonts w:ascii="宋体" w:hAnsi="宋体"/>
                <w:szCs w:val="21"/>
              </w:rPr>
            </w:pPr>
            <w:r>
              <w:rPr>
                <w:rFonts w:hint="eastAsia" w:ascii="宋体" w:hAnsi="宋体"/>
                <w:szCs w:val="21"/>
              </w:rPr>
              <w:t>（2）如果投标人的评标价≤评标基准价，则评标价得分=F+偏差率×100×E2。</w:t>
            </w:r>
          </w:p>
          <w:p>
            <w:pPr>
              <w:jc w:val="left"/>
              <w:rPr>
                <w:rFonts w:ascii="宋体" w:hAnsi="宋体"/>
                <w:szCs w:val="21"/>
              </w:rPr>
            </w:pPr>
            <w:r>
              <w:rPr>
                <w:rFonts w:hint="eastAsia" w:ascii="宋体" w:hAnsi="宋体"/>
                <w:szCs w:val="21"/>
              </w:rPr>
              <w:t>其中，F=10，E1=0.2，E2=0.1；评标价最低得分为0分。</w:t>
            </w:r>
          </w:p>
          <w:p>
            <w:pPr>
              <w:jc w:val="left"/>
              <w:rPr>
                <w:rFonts w:ascii="宋体" w:hAnsi="宋体"/>
                <w:szCs w:val="21"/>
              </w:rPr>
            </w:pPr>
            <w:r>
              <w:rPr>
                <w:rFonts w:hint="eastAsia" w:ascii="宋体" w:hAnsi="宋体"/>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41"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2.2.4（4）</w:t>
            </w:r>
          </w:p>
        </w:tc>
        <w:tc>
          <w:tcPr>
            <w:tcW w:w="741"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其他因素</w:t>
            </w:r>
          </w:p>
        </w:tc>
        <w:tc>
          <w:tcPr>
            <w:tcW w:w="831" w:type="dxa"/>
            <w:vMerge w:val="restart"/>
            <w:tcBorders>
              <w:top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30</w:t>
            </w:r>
            <w:r>
              <w:rPr>
                <w:rFonts w:hint="eastAsia" w:ascii="宋体" w:hAnsi="宋体" w:cs="Courier New"/>
                <w:szCs w:val="21"/>
              </w:rPr>
              <w:t>分</w:t>
            </w:r>
          </w:p>
        </w:tc>
        <w:tc>
          <w:tcPr>
            <w:tcW w:w="1239" w:type="dxa"/>
            <w:tcBorders>
              <w:top w:val="single" w:color="auto" w:sz="4" w:space="0"/>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企业业绩</w:t>
            </w:r>
          </w:p>
        </w:tc>
        <w:tc>
          <w:tcPr>
            <w:tcW w:w="604" w:type="dxa"/>
            <w:tcBorders>
              <w:top w:val="single" w:color="auto" w:sz="4" w:space="0"/>
              <w:bottom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25</w:t>
            </w:r>
            <w:r>
              <w:rPr>
                <w:rFonts w:hint="eastAsia" w:ascii="宋体" w:hAnsi="宋体" w:cs="Courier New"/>
                <w:szCs w:val="21"/>
              </w:rPr>
              <w:t>分</w:t>
            </w:r>
          </w:p>
        </w:tc>
        <w:tc>
          <w:tcPr>
            <w:tcW w:w="5496"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满足资格审查条件要求得1</w:t>
            </w:r>
            <w:r>
              <w:rPr>
                <w:rFonts w:ascii="宋体" w:hAnsi="宋体"/>
                <w:szCs w:val="21"/>
              </w:rPr>
              <w:t>5</w:t>
            </w:r>
            <w:r>
              <w:rPr>
                <w:rFonts w:hint="eastAsia" w:ascii="宋体" w:hAnsi="宋体"/>
                <w:szCs w:val="21"/>
              </w:rPr>
              <w:t>分；</w:t>
            </w:r>
          </w:p>
          <w:p>
            <w:pPr>
              <w:rPr>
                <w:rFonts w:ascii="宋体" w:hAnsi="宋体"/>
                <w:b/>
                <w:bCs/>
                <w:szCs w:val="21"/>
              </w:rPr>
            </w:pPr>
            <w:r>
              <w:rPr>
                <w:rFonts w:hint="eastAsia" w:ascii="宋体" w:hAnsi="宋体"/>
              </w:rPr>
              <w:t>每增加1项满足附录2资格审查条件（业绩最低要求）的</w:t>
            </w:r>
            <w:r>
              <w:rPr>
                <w:rFonts w:hint="eastAsia" w:ascii="宋体"/>
                <w:szCs w:val="21"/>
              </w:rPr>
              <w:t>业绩加</w:t>
            </w:r>
            <w:r>
              <w:rPr>
                <w:rFonts w:ascii="宋体"/>
                <w:szCs w:val="21"/>
              </w:rPr>
              <w:t>5</w:t>
            </w:r>
            <w:r>
              <w:rPr>
                <w:rFonts w:hint="eastAsia" w:ascii="宋体"/>
                <w:szCs w:val="21"/>
              </w:rPr>
              <w:t>分，最多加1</w:t>
            </w:r>
            <w:r>
              <w:rPr>
                <w:rFonts w:ascii="宋体"/>
                <w:szCs w:val="21"/>
              </w:rPr>
              <w:t>0</w:t>
            </w:r>
            <w:r>
              <w:rPr>
                <w:rFonts w:hint="eastAsia" w:asci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履约信誉</w:t>
            </w:r>
          </w:p>
        </w:tc>
        <w:tc>
          <w:tcPr>
            <w:tcW w:w="604" w:type="dxa"/>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5分</w:t>
            </w:r>
          </w:p>
        </w:tc>
        <w:tc>
          <w:tcPr>
            <w:tcW w:w="5496" w:type="dxa"/>
            <w:gridSpan w:val="2"/>
            <w:tcBorders>
              <w:top w:val="single" w:color="auto" w:sz="4" w:space="0"/>
            </w:tcBorders>
            <w:vAlign w:val="center"/>
          </w:tcPr>
          <w:p>
            <w:pPr>
              <w:rPr>
                <w:rFonts w:ascii="宋体" w:hAnsi="宋体"/>
                <w:szCs w:val="21"/>
              </w:rPr>
            </w:pPr>
            <w:r>
              <w:rPr>
                <w:rFonts w:hint="eastAsia" w:ascii="宋体" w:hAnsi="宋体"/>
                <w:szCs w:val="21"/>
              </w:rPr>
              <w:t>满足资格审查条件要求得</w:t>
            </w:r>
            <w:r>
              <w:rPr>
                <w:rFonts w:ascii="宋体" w:hAnsi="宋体"/>
                <w:szCs w:val="21"/>
              </w:rPr>
              <w:t>5</w:t>
            </w:r>
            <w:r>
              <w:rPr>
                <w:rFonts w:hint="eastAsia" w:ascii="宋体" w:hAnsi="宋体"/>
                <w:szCs w:val="21"/>
              </w:rPr>
              <w:t>分。</w:t>
            </w:r>
          </w:p>
        </w:tc>
      </w:tr>
    </w:tbl>
    <w:p>
      <w:pPr>
        <w:ind w:firstLine="428" w:firstLineChars="204"/>
        <w:rPr>
          <w:rFonts w:ascii="宋体" w:hAnsi="宋体" w:cs="Courier New"/>
          <w:szCs w:val="21"/>
        </w:rPr>
      </w:pPr>
    </w:p>
    <w:bookmarkEnd w:id="18"/>
    <w:p>
      <w:pPr>
        <w:ind w:firstLine="420" w:firstLineChars="200"/>
        <w:rPr>
          <w:rFonts w:ascii="宋体" w:hAnsi="宋体" w:cs="Courier New"/>
          <w:szCs w:val="21"/>
        </w:rPr>
      </w:pPr>
      <w:r>
        <w:rPr>
          <w:rFonts w:hint="eastAsia" w:ascii="宋体" w:hAnsi="宋体" w:cs="Courier New"/>
          <w:szCs w:val="21"/>
        </w:rPr>
        <w:t>注：（1）技术建议书以评标委员会各成员的打分平均值确定；评委打分保留1位小数，汇总得分保留小数点后两位。（2）技术建议书各评分因素缺项，则该项得0分。</w:t>
      </w:r>
    </w:p>
    <w:p>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9260798"/>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qFormat/>
    <w:uiPriority w:val="1"/>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1"/>
    <w:pPr>
      <w:keepNext/>
      <w:keepLines/>
      <w:spacing w:before="260" w:after="260" w:line="415"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54"/>
    <w:basedOn w:val="2"/>
    <w:qFormat/>
    <w:uiPriority w:val="0"/>
    <w:pPr>
      <w:spacing w:before="0" w:after="0" w:line="360" w:lineRule="auto"/>
      <w:jc w:val="center"/>
    </w:pPr>
    <w:rPr>
      <w:kern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2023-12-16T01:06:08Z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