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宋体" w:hAnsi="宋体"/>
          <w:b w:val="0"/>
          <w:bCs w:val="0"/>
          <w:sz w:val="28"/>
          <w:szCs w:val="28"/>
        </w:rPr>
      </w:pPr>
      <w:r>
        <w:rPr>
          <w:rFonts w:hint="eastAsia" w:ascii="宋体" w:hAnsi="宋体"/>
          <w:b w:val="0"/>
          <w:bCs w:val="0"/>
          <w:sz w:val="28"/>
          <w:szCs w:val="28"/>
        </w:rPr>
        <w:t>附件1  资格审查条件</w:t>
      </w:r>
    </w:p>
    <w:p>
      <w:pPr>
        <w:spacing w:line="360" w:lineRule="exact"/>
        <w:jc w:val="center"/>
        <w:rPr>
          <w:rFonts w:hint="eastAsia" w:ascii="宋体" w:hAnsi="宋体"/>
          <w:b/>
          <w:bCs/>
        </w:rPr>
      </w:pPr>
      <w:r>
        <w:rPr>
          <w:rFonts w:hint="eastAsia" w:ascii="宋体" w:hAnsi="宋体"/>
          <w:b/>
          <w:bCs/>
        </w:rPr>
        <w:t>附录1 资格审查条件（资质最低要求）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b/>
              </w:rPr>
            </w:pPr>
            <w:r>
              <w:rPr>
                <w:rFonts w:hint="eastAsia" w:ascii="宋体" w:hAnsi="宋体"/>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kern w:val="0"/>
              </w:rPr>
            </w:pPr>
            <w:r>
              <w:rPr>
                <w:rFonts w:hint="eastAsia" w:ascii="宋体" w:hAnsi="宋体"/>
              </w:rPr>
              <w:t>投标人具备独立法人资格，具有有效的营业执照或事业单位法人证书。</w:t>
            </w:r>
          </w:p>
        </w:tc>
      </w:tr>
    </w:tbl>
    <w:p>
      <w:pPr>
        <w:spacing w:line="360" w:lineRule="exact"/>
        <w:jc w:val="center"/>
        <w:rPr>
          <w:rFonts w:hint="eastAsia" w:ascii="宋体" w:hAnsi="宋体"/>
          <w:b/>
          <w:bCs/>
        </w:rPr>
      </w:pPr>
      <w:r>
        <w:rPr>
          <w:rFonts w:hint="eastAsia" w:ascii="宋体" w:hAnsi="宋体"/>
          <w:b/>
          <w:bCs/>
        </w:rPr>
        <w:t xml:space="preserve"> </w:t>
      </w:r>
    </w:p>
    <w:p>
      <w:pPr>
        <w:spacing w:line="360" w:lineRule="exact"/>
        <w:jc w:val="center"/>
        <w:rPr>
          <w:rFonts w:hint="eastAsia" w:ascii="宋体" w:hAnsi="宋体"/>
          <w:b/>
          <w:bCs/>
        </w:rPr>
      </w:pPr>
      <w:r>
        <w:rPr>
          <w:rFonts w:hint="eastAsia" w:ascii="宋体" w:hAnsi="宋体"/>
          <w:b/>
          <w:bCs/>
        </w:rPr>
        <w:t>附录2资格审查条件（业绩最低要求）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kern w:val="0"/>
              </w:rPr>
            </w:pPr>
            <w:r>
              <w:rPr>
                <w:rFonts w:hint="eastAsia" w:ascii="宋体" w:hAnsi="宋体"/>
              </w:rPr>
              <w:t>近五年（2018年12月1日至今，以合同签订时间为准）至少承担过一项公路建设项目水土保持验收咨询服务业绩。</w:t>
            </w:r>
          </w:p>
        </w:tc>
      </w:tr>
    </w:tbl>
    <w:p>
      <w:pPr>
        <w:spacing w:line="360" w:lineRule="exact"/>
        <w:jc w:val="center"/>
        <w:rPr>
          <w:rFonts w:hint="eastAsia" w:ascii="宋体" w:hAnsi="宋体"/>
          <w:b/>
          <w:bCs/>
        </w:rPr>
      </w:pPr>
      <w:r>
        <w:rPr>
          <w:rFonts w:hint="eastAsia" w:ascii="宋体" w:hAnsi="宋体"/>
          <w:b/>
          <w:bCs/>
        </w:rPr>
        <w:t>附录3资格审查条件（信誉最低要求）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kern w:val="0"/>
              </w:rPr>
            </w:pPr>
            <w:r>
              <w:rPr>
                <w:rFonts w:hint="eastAsia" w:ascii="宋体" w:hAnsi="宋体"/>
              </w:rPr>
              <w:t>投投标人过去1年（2022年12月1日至今）中不曾在水土保持验收服务合同中违约而被驱逐或因投标人自身的原因而使水土保持验收服务合同被解除</w:t>
            </w:r>
            <w:r>
              <w:rPr>
                <w:rFonts w:hint="eastAsia" w:ascii="宋体" w:hAnsi="宋体"/>
                <w:kern w:val="0"/>
              </w:rPr>
              <w:t>。</w:t>
            </w:r>
          </w:p>
        </w:tc>
      </w:tr>
    </w:tbl>
    <w:p>
      <w:pPr>
        <w:adjustRightInd w:val="0"/>
        <w:snapToGrid w:val="0"/>
        <w:spacing w:line="360" w:lineRule="exact"/>
        <w:ind w:firstLine="420" w:firstLineChars="200"/>
        <w:rPr>
          <w:rFonts w:hint="eastAsia" w:ascii="宋体" w:hAnsi="宋体"/>
        </w:rPr>
      </w:pPr>
      <w:r>
        <w:rPr>
          <w:rFonts w:hint="eastAsia" w:ascii="宋体" w:hAnsi="宋体"/>
        </w:rPr>
        <w:t xml:space="preserve"> </w:t>
      </w:r>
    </w:p>
    <w:p>
      <w:pPr>
        <w:spacing w:line="360" w:lineRule="exact"/>
        <w:jc w:val="center"/>
        <w:rPr>
          <w:rFonts w:hint="eastAsia" w:ascii="宋体" w:hAnsi="宋体"/>
          <w:b/>
          <w:bCs/>
        </w:rPr>
      </w:pPr>
      <w:r>
        <w:rPr>
          <w:rFonts w:hint="eastAsia" w:ascii="宋体" w:hAnsi="宋体"/>
          <w:b/>
          <w:bCs/>
        </w:rPr>
        <w:t>附录4资格审查条件（人员最低要求）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kern w:val="0"/>
              </w:rPr>
            </w:pPr>
            <w:r>
              <w:rPr>
                <w:rFonts w:hint="eastAsia" w:ascii="宋体" w:hAnsi="宋体"/>
              </w:rPr>
              <w:t>项目负责人1人，高级及以上技术职称。</w:t>
            </w:r>
          </w:p>
        </w:tc>
      </w:tr>
    </w:tbl>
    <w:p>
      <w:pPr>
        <w:adjustRightInd w:val="0"/>
        <w:snapToGrid w:val="0"/>
        <w:spacing w:line="360" w:lineRule="exact"/>
        <w:ind w:firstLine="420" w:firstLineChars="200"/>
        <w:rPr>
          <w:rFonts w:hint="eastAsia" w:ascii="宋体" w:hAnsi="宋体"/>
        </w:rPr>
      </w:pPr>
      <w:r>
        <w:rPr>
          <w:rFonts w:hint="eastAsia" w:ascii="宋体" w:hAnsi="宋体"/>
        </w:rPr>
        <w:t xml:space="preserve"> </w:t>
      </w:r>
    </w:p>
    <w:p>
      <w:pPr>
        <w:pStyle w:val="4"/>
        <w:spacing w:before="0" w:after="0" w:line="360" w:lineRule="exact"/>
        <w:rPr>
          <w:rFonts w:hint="eastAsia" w:eastAsia="宋体"/>
          <w:b w:val="0"/>
          <w:bCs/>
          <w:i/>
          <w:iCs/>
          <w:sz w:val="21"/>
          <w:szCs w:val="21"/>
        </w:rPr>
      </w:pPr>
      <w:r>
        <w:rPr>
          <w:rFonts w:eastAsia="宋体"/>
          <w:b w:val="0"/>
          <w:bCs/>
          <w:i/>
          <w:iCs/>
          <w:sz w:val="21"/>
          <w:szCs w:val="21"/>
        </w:rPr>
        <w:t xml:space="preserve"> </w:t>
      </w:r>
    </w:p>
    <w:p>
      <w:pPr>
        <w:widowControl/>
        <w:jc w:val="left"/>
      </w:pPr>
      <w:r>
        <w:br w:type="page"/>
      </w:r>
    </w:p>
    <w:p>
      <w:pPr>
        <w:pStyle w:val="4"/>
        <w:snapToGrid w:val="0"/>
        <w:spacing w:before="0" w:after="0" w:line="360" w:lineRule="auto"/>
        <w:rPr>
          <w:rFonts w:ascii="宋体" w:hAnsi="宋体" w:eastAsia="宋体"/>
          <w:b w:val="0"/>
          <w:sz w:val="28"/>
          <w:szCs w:val="28"/>
        </w:rPr>
      </w:pPr>
      <w:r>
        <w:rPr>
          <w:rFonts w:hint="eastAsia" w:ascii="宋体" w:hAnsi="宋体" w:eastAsia="宋体"/>
          <w:b w:val="0"/>
          <w:sz w:val="28"/>
          <w:szCs w:val="28"/>
        </w:rPr>
        <w:t>附件2、评标办法前附表</w:t>
      </w:r>
    </w:p>
    <w:tbl>
      <w:tblPr>
        <w:tblStyle w:val="8"/>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275"/>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条款号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条款名称</w:t>
            </w:r>
          </w:p>
        </w:tc>
        <w:tc>
          <w:tcPr>
            <w:tcW w:w="7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评标办法</w:t>
            </w:r>
          </w:p>
        </w:tc>
        <w:tc>
          <w:tcPr>
            <w:tcW w:w="73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本次评标采用综合评估法。评标委员会对满足招标文件实质性要求的投标文件，按照本章第</w:t>
            </w:r>
            <w:r>
              <w:t>2.2</w:t>
            </w:r>
            <w:r>
              <w:rPr>
                <w:rFonts w:ascii="宋体" w:hAnsi="宋体"/>
              </w:rPr>
              <w:t>款规定的评分标准进行打分，并按得分由高到低顺序推荐</w:t>
            </w:r>
            <w:r>
              <w:rPr>
                <w:rFonts w:hint="eastAsia"/>
              </w:rPr>
              <w:t>1-3</w:t>
            </w:r>
            <w:r>
              <w:rPr>
                <w:rFonts w:hint="eastAsia" w:ascii="宋体" w:hAnsi="宋体"/>
              </w:rPr>
              <w:t>名</w:t>
            </w:r>
            <w:r>
              <w:rPr>
                <w:rFonts w:ascii="宋体" w:hAnsi="宋体"/>
              </w:rPr>
              <w:t>中标候选人。</w:t>
            </w:r>
            <w:r>
              <w:rPr>
                <w:rFonts w:hint="eastAsia" w:ascii="宋体" w:hAnsi="宋体"/>
              </w:rPr>
              <w:t>综合评分相等时，评标委员会依次按照以下优先顺序推荐中标候选人：</w:t>
            </w:r>
          </w:p>
          <w:p>
            <w:pPr>
              <w:rPr>
                <w:rFonts w:hint="eastAsia" w:ascii="宋体" w:hAnsi="宋体"/>
              </w:rPr>
            </w:pPr>
            <w:r>
              <w:rPr>
                <w:rFonts w:hint="eastAsia" w:ascii="宋体" w:hAnsi="宋体"/>
              </w:rPr>
              <w:t>（1）评标价低的投标人优先；</w:t>
            </w:r>
          </w:p>
          <w:p>
            <w:pPr>
              <w:rPr>
                <w:rFonts w:hint="eastAsia" w:ascii="宋体" w:hAnsi="宋体"/>
              </w:rPr>
            </w:pPr>
            <w:r>
              <w:rPr>
                <w:rFonts w:hint="eastAsia" w:ascii="宋体" w:hAnsi="宋体"/>
              </w:rPr>
              <w:t>（2）技术部分得分较高的投标人优先；</w:t>
            </w:r>
          </w:p>
          <w:p>
            <w:pPr>
              <w:rPr>
                <w:rFonts w:ascii="宋体" w:hAnsi="宋体"/>
              </w:rPr>
            </w:pPr>
            <w:r>
              <w:rPr>
                <w:rFonts w:hint="eastAsia" w:ascii="宋体" w:hAnsi="宋体"/>
              </w:rPr>
              <w:t>（3）投标人满足资格审查条件(业绩最低条件)要求的业绩累计金额高的优先。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2.1.1</w:t>
            </w:r>
          </w:p>
          <w:p>
            <w:pPr>
              <w:jc w:val="center"/>
              <w:rPr>
                <w:rFonts w:ascii="宋体" w:hAnsi="宋体"/>
              </w:rPr>
            </w:pPr>
            <w:r>
              <w:rPr>
                <w:rFonts w:hint="eastAsia" w:ascii="宋体" w:hAnsi="宋体"/>
              </w:rPr>
              <w:t>2.1.3</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形式评审与响应性评审标准</w:t>
            </w:r>
          </w:p>
        </w:tc>
        <w:tc>
          <w:tcPr>
            <w:tcW w:w="736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11" w:firstLineChars="100"/>
              <w:rPr>
                <w:rFonts w:ascii="宋体" w:hAnsi="宋体"/>
                <w:b/>
                <w:bCs/>
              </w:rPr>
            </w:pPr>
            <w:r>
              <w:rPr>
                <w:rFonts w:hint="eastAsia" w:ascii="宋体" w:hAnsi="宋体"/>
                <w:b/>
                <w:bCs/>
              </w:rPr>
              <w:t>第一个信封评审标准：</w:t>
            </w:r>
          </w:p>
          <w:p>
            <w:pPr>
              <w:spacing w:line="360" w:lineRule="exact"/>
              <w:ind w:firstLine="210" w:firstLineChars="100"/>
              <w:rPr>
                <w:rFonts w:hint="eastAsia" w:ascii="宋体" w:hAnsi="宋体"/>
              </w:rPr>
            </w:pPr>
            <w:r>
              <w:rPr>
                <w:rFonts w:hint="eastAsia" w:ascii="宋体" w:hAnsi="宋体"/>
              </w:rPr>
              <w:t>（1）投标文件按照招标文件规定的格式、内容填写，字迹清晰可辨：</w:t>
            </w:r>
          </w:p>
          <w:p>
            <w:pPr>
              <w:spacing w:line="360" w:lineRule="exact"/>
              <w:ind w:firstLine="210" w:firstLineChars="100"/>
              <w:rPr>
                <w:rFonts w:hint="eastAsia" w:ascii="宋体" w:hAnsi="宋体"/>
              </w:rPr>
            </w:pPr>
            <w:r>
              <w:rPr>
                <w:rFonts w:hint="eastAsia" w:ascii="宋体" w:hAnsi="宋体"/>
              </w:rPr>
              <w:t>a．投标函按招标文件规定填报了项目名称、补遗书编号（如有）、服务期限、质量要求、项目负责人姓名；</w:t>
            </w:r>
          </w:p>
          <w:p>
            <w:pPr>
              <w:spacing w:line="360" w:lineRule="exact"/>
              <w:ind w:firstLine="210" w:firstLineChars="100"/>
              <w:rPr>
                <w:rFonts w:hint="eastAsia" w:ascii="宋体" w:hAnsi="宋体"/>
              </w:rPr>
            </w:pPr>
            <w:r>
              <w:rPr>
                <w:rFonts w:hint="eastAsia" w:ascii="宋体" w:hAnsi="宋体"/>
              </w:rPr>
              <w:t>b．投标文件组成齐全完整，内容均按规定填写。</w:t>
            </w:r>
          </w:p>
          <w:p>
            <w:pPr>
              <w:spacing w:line="360" w:lineRule="exact"/>
              <w:ind w:firstLine="210" w:firstLineChars="100"/>
              <w:rPr>
                <w:rFonts w:hint="eastAsia" w:ascii="宋体" w:hAnsi="宋体"/>
                <w:bCs/>
              </w:rPr>
            </w:pPr>
            <w:r>
              <w:rPr>
                <w:rFonts w:hint="eastAsia" w:ascii="宋体" w:hAnsi="宋体"/>
                <w:bCs/>
              </w:rPr>
              <w:t>（2）投标文件上法定代表人或其授权代理人的签字、投标人的单位章盖章齐全，符合招标文件规定。</w:t>
            </w:r>
          </w:p>
          <w:p>
            <w:pPr>
              <w:spacing w:line="400" w:lineRule="exact"/>
              <w:ind w:firstLine="210" w:firstLineChars="100"/>
              <w:jc w:val="left"/>
              <w:rPr>
                <w:rFonts w:hint="eastAsia" w:ascii="宋体" w:hAnsi="宋体"/>
              </w:rPr>
            </w:pPr>
            <w:r>
              <w:rPr>
                <w:rFonts w:hint="eastAsia" w:ascii="宋体" w:hAnsi="宋体"/>
              </w:rPr>
              <w:t>（3）投标人按照招标文件规定的金额、形式、时效和内容提供了投标保证金：符合投标须知前附表3.4.1款的规定。</w:t>
            </w:r>
          </w:p>
          <w:p>
            <w:pPr>
              <w:autoSpaceDE w:val="0"/>
              <w:autoSpaceDN w:val="0"/>
              <w:adjustRightInd w:val="0"/>
              <w:spacing w:line="360" w:lineRule="exact"/>
              <w:jc w:val="left"/>
              <w:rPr>
                <w:rFonts w:hint="eastAsia" w:ascii="宋体" w:hAnsi="宋体"/>
                <w:kern w:val="0"/>
              </w:rPr>
            </w:pPr>
            <w:r>
              <w:rPr>
                <w:rFonts w:hint="eastAsia" w:ascii="宋体" w:hAnsi="宋体"/>
                <w:kern w:val="0"/>
              </w:rPr>
              <w:t>（4）投标人法定代表人授权委托代理人签署投标文件的，须提交授权委托书，授权委托书符合招标文件规定。</w:t>
            </w:r>
          </w:p>
          <w:p>
            <w:pPr>
              <w:autoSpaceDE w:val="0"/>
              <w:autoSpaceDN w:val="0"/>
              <w:adjustRightInd w:val="0"/>
              <w:spacing w:line="360" w:lineRule="exact"/>
              <w:jc w:val="left"/>
              <w:rPr>
                <w:rFonts w:hint="eastAsia" w:ascii="宋体" w:hAnsi="宋体"/>
                <w:kern w:val="0"/>
              </w:rPr>
            </w:pPr>
            <w:r>
              <w:rPr>
                <w:rFonts w:hint="eastAsia" w:ascii="宋体" w:hAnsi="宋体"/>
                <w:kern w:val="0"/>
              </w:rPr>
              <w:t>（5）投标人法定代表人亲自签署投标文件的，提供了法定代表人身份证明，法定代表人身份证明符合招标文件规定。</w:t>
            </w:r>
          </w:p>
          <w:p>
            <w:pPr>
              <w:autoSpaceDE w:val="0"/>
              <w:autoSpaceDN w:val="0"/>
              <w:adjustRightInd w:val="0"/>
              <w:spacing w:line="360" w:lineRule="exact"/>
              <w:jc w:val="left"/>
              <w:rPr>
                <w:rFonts w:hint="eastAsia" w:ascii="宋体" w:hAnsi="宋体"/>
                <w:kern w:val="0"/>
              </w:rPr>
            </w:pPr>
            <w:r>
              <w:rPr>
                <w:rFonts w:hint="eastAsia" w:ascii="宋体" w:hAnsi="宋体"/>
                <w:kern w:val="0"/>
              </w:rPr>
              <w:t>（6）投标人未以联合体形式投标。</w:t>
            </w:r>
          </w:p>
          <w:p>
            <w:pPr>
              <w:autoSpaceDE w:val="0"/>
              <w:autoSpaceDN w:val="0"/>
              <w:adjustRightInd w:val="0"/>
              <w:spacing w:line="360" w:lineRule="exact"/>
              <w:jc w:val="left"/>
              <w:rPr>
                <w:rFonts w:hint="eastAsia"/>
              </w:rPr>
            </w:pPr>
            <w:r>
              <w:rPr>
                <w:rFonts w:hint="eastAsia" w:ascii="宋体" w:hAnsi="宋体"/>
                <w:kern w:val="0"/>
              </w:rPr>
              <w:t>（7）</w:t>
            </w:r>
            <w:r>
              <w:rPr>
                <w:rFonts w:hint="eastAsia" w:ascii="宋体" w:hAnsi="宋体"/>
              </w:rPr>
              <w:t>投标人未对本项目提出分包计划。</w:t>
            </w:r>
          </w:p>
          <w:p>
            <w:pPr>
              <w:autoSpaceDE w:val="0"/>
              <w:autoSpaceDN w:val="0"/>
              <w:adjustRightInd w:val="0"/>
              <w:spacing w:line="360" w:lineRule="exact"/>
              <w:jc w:val="left"/>
              <w:rPr>
                <w:rFonts w:ascii="宋体" w:hAnsi="宋体"/>
                <w:kern w:val="0"/>
              </w:rPr>
            </w:pPr>
            <w:r>
              <w:rPr>
                <w:rFonts w:hint="eastAsia" w:ascii="宋体" w:hAnsi="宋体"/>
              </w:rPr>
              <w:t>（</w:t>
            </w:r>
            <w:r>
              <w:rPr>
                <w:rFonts w:hint="eastAsia"/>
              </w:rPr>
              <w:t>8</w:t>
            </w:r>
            <w:r>
              <w:rPr>
                <w:rFonts w:hint="eastAsia" w:ascii="宋体" w:hAnsi="宋体"/>
              </w:rPr>
              <w:t>）</w:t>
            </w:r>
            <w:r>
              <w:rPr>
                <w:rFonts w:hint="eastAsia" w:ascii="宋体" w:hAnsi="宋体"/>
                <w:kern w:val="0"/>
              </w:rPr>
              <w:t>同一投标人在同一标段未提交两个以上不同的投标文件。</w:t>
            </w:r>
          </w:p>
          <w:p>
            <w:pPr>
              <w:autoSpaceDE w:val="0"/>
              <w:autoSpaceDN w:val="0"/>
              <w:adjustRightInd w:val="0"/>
              <w:spacing w:line="360" w:lineRule="exact"/>
              <w:jc w:val="left"/>
              <w:rPr>
                <w:rFonts w:hint="eastAsia" w:ascii="宋体" w:hAnsi="宋体"/>
                <w:kern w:val="0"/>
              </w:rPr>
            </w:pPr>
            <w:r>
              <w:rPr>
                <w:rFonts w:hint="eastAsia" w:ascii="宋体" w:hAnsi="宋体"/>
                <w:kern w:val="0"/>
              </w:rPr>
              <w:t>（9）投标文件中未出现有关投标报价的内容。</w:t>
            </w:r>
          </w:p>
          <w:p>
            <w:pPr>
              <w:autoSpaceDE w:val="0"/>
              <w:autoSpaceDN w:val="0"/>
              <w:adjustRightInd w:val="0"/>
              <w:spacing w:line="360" w:lineRule="exact"/>
              <w:jc w:val="left"/>
              <w:rPr>
                <w:rFonts w:hint="eastAsia" w:ascii="宋体" w:hAnsi="宋体"/>
                <w:kern w:val="0"/>
              </w:rPr>
            </w:pPr>
            <w:r>
              <w:rPr>
                <w:rFonts w:hint="eastAsia" w:ascii="宋体" w:hAnsi="宋体"/>
                <w:kern w:val="0"/>
              </w:rPr>
              <w:t>（10）投标文件载明的招标项目完成期限符合招标文件规定。</w:t>
            </w:r>
          </w:p>
          <w:p>
            <w:pPr>
              <w:autoSpaceDE w:val="0"/>
              <w:autoSpaceDN w:val="0"/>
              <w:adjustRightInd w:val="0"/>
              <w:spacing w:line="360" w:lineRule="exact"/>
              <w:jc w:val="left"/>
              <w:rPr>
                <w:rFonts w:hint="eastAsia" w:ascii="宋体" w:hAnsi="宋体"/>
                <w:kern w:val="0"/>
              </w:rPr>
            </w:pPr>
            <w:r>
              <w:rPr>
                <w:rFonts w:hint="eastAsia" w:ascii="宋体" w:hAnsi="宋体"/>
                <w:kern w:val="0"/>
              </w:rPr>
              <w:t>（11）投标文件对招标文件的实质性要求和条件作出响应。</w:t>
            </w:r>
          </w:p>
          <w:p>
            <w:pPr>
              <w:autoSpaceDE w:val="0"/>
              <w:autoSpaceDN w:val="0"/>
              <w:adjustRightInd w:val="0"/>
              <w:spacing w:line="360" w:lineRule="exact"/>
              <w:jc w:val="left"/>
              <w:rPr>
                <w:rFonts w:hint="eastAsia" w:ascii="宋体" w:hAnsi="宋体"/>
                <w:kern w:val="0"/>
              </w:rPr>
            </w:pPr>
            <w:r>
              <w:rPr>
                <w:rFonts w:hint="eastAsia" w:ascii="宋体" w:hAnsi="宋体"/>
                <w:kern w:val="0"/>
              </w:rPr>
              <w:t>（12）权利义务符合招标文件规定：</w:t>
            </w:r>
          </w:p>
          <w:p>
            <w:pPr>
              <w:autoSpaceDE w:val="0"/>
              <w:autoSpaceDN w:val="0"/>
              <w:adjustRightInd w:val="0"/>
              <w:spacing w:line="360" w:lineRule="exact"/>
              <w:jc w:val="left"/>
              <w:rPr>
                <w:rFonts w:hint="eastAsia" w:ascii="宋体" w:hAnsi="宋体"/>
                <w:kern w:val="0"/>
              </w:rPr>
            </w:pPr>
            <w:r>
              <w:rPr>
                <w:rFonts w:hint="eastAsia" w:ascii="宋体" w:hAnsi="宋体"/>
                <w:kern w:val="0"/>
              </w:rPr>
              <w:t>a.投标人应接受招标文件规定的风险划分原则，未提出新的风险划分办法；</w:t>
            </w:r>
          </w:p>
          <w:p>
            <w:pPr>
              <w:autoSpaceDE w:val="0"/>
              <w:autoSpaceDN w:val="0"/>
              <w:adjustRightInd w:val="0"/>
              <w:spacing w:line="360" w:lineRule="exact"/>
              <w:jc w:val="left"/>
              <w:rPr>
                <w:rFonts w:hint="eastAsia" w:ascii="宋体" w:hAnsi="宋体"/>
                <w:kern w:val="0"/>
              </w:rPr>
            </w:pPr>
            <w:r>
              <w:rPr>
                <w:rFonts w:hint="eastAsia" w:ascii="宋体" w:hAnsi="宋体"/>
                <w:kern w:val="0"/>
              </w:rPr>
              <w:t>b.投标人未增加发包人的责任范围，或减少投标人义务；</w:t>
            </w:r>
          </w:p>
          <w:p>
            <w:pPr>
              <w:autoSpaceDE w:val="0"/>
              <w:autoSpaceDN w:val="0"/>
              <w:adjustRightInd w:val="0"/>
              <w:spacing w:line="360" w:lineRule="exact"/>
              <w:jc w:val="left"/>
              <w:rPr>
                <w:rFonts w:hint="eastAsia" w:ascii="宋体" w:hAnsi="宋体"/>
                <w:kern w:val="0"/>
              </w:rPr>
            </w:pPr>
            <w:r>
              <w:rPr>
                <w:rFonts w:hint="eastAsia" w:ascii="宋体" w:hAnsi="宋体"/>
                <w:kern w:val="0"/>
              </w:rPr>
              <w:t>c.投标人未提出不同的支付办法；</w:t>
            </w:r>
          </w:p>
          <w:p>
            <w:pPr>
              <w:autoSpaceDE w:val="0"/>
              <w:autoSpaceDN w:val="0"/>
              <w:adjustRightInd w:val="0"/>
              <w:spacing w:line="360" w:lineRule="exact"/>
              <w:jc w:val="left"/>
              <w:rPr>
                <w:rFonts w:hint="eastAsia" w:ascii="宋体" w:hAnsi="宋体"/>
                <w:kern w:val="0"/>
              </w:rPr>
            </w:pPr>
            <w:r>
              <w:rPr>
                <w:rFonts w:hint="eastAsia" w:ascii="宋体" w:hAnsi="宋体"/>
                <w:kern w:val="0"/>
              </w:rPr>
              <w:t>d.投标人对合同纠纷、事故处理办法未提出异议；</w:t>
            </w:r>
          </w:p>
          <w:p>
            <w:pPr>
              <w:autoSpaceDE w:val="0"/>
              <w:autoSpaceDN w:val="0"/>
              <w:adjustRightInd w:val="0"/>
              <w:spacing w:line="360" w:lineRule="exact"/>
              <w:jc w:val="left"/>
              <w:rPr>
                <w:rFonts w:hint="eastAsia" w:ascii="宋体" w:hAnsi="宋体"/>
                <w:kern w:val="0"/>
              </w:rPr>
            </w:pPr>
            <w:r>
              <w:rPr>
                <w:rFonts w:hint="eastAsia" w:ascii="宋体" w:hAnsi="宋体"/>
                <w:kern w:val="0"/>
              </w:rPr>
              <w:t>e.投标人在投标活动中无欺诈行为；</w:t>
            </w:r>
          </w:p>
          <w:p>
            <w:pPr>
              <w:autoSpaceDE w:val="0"/>
              <w:autoSpaceDN w:val="0"/>
              <w:adjustRightInd w:val="0"/>
              <w:spacing w:line="360" w:lineRule="exact"/>
              <w:jc w:val="left"/>
              <w:rPr>
                <w:rFonts w:hint="eastAsia" w:ascii="宋体" w:hAnsi="宋体"/>
                <w:kern w:val="0"/>
              </w:rPr>
            </w:pPr>
            <w:r>
              <w:rPr>
                <w:rFonts w:hint="eastAsia" w:ascii="宋体" w:hAnsi="宋体"/>
                <w:kern w:val="0"/>
              </w:rPr>
              <w:t>f.投标人未对合同条款有重要保留。</w:t>
            </w:r>
          </w:p>
          <w:p>
            <w:pPr>
              <w:spacing w:line="360" w:lineRule="exact"/>
              <w:ind w:firstLine="210" w:firstLineChars="100"/>
              <w:rPr>
                <w:rFonts w:hint="eastAsia" w:ascii="宋体" w:hAnsi="宋体"/>
                <w:kern w:val="0"/>
              </w:rPr>
            </w:pPr>
            <w:r>
              <w:rPr>
                <w:rFonts w:hint="eastAsia" w:ascii="宋体" w:hAnsi="宋体"/>
                <w:kern w:val="0"/>
              </w:rPr>
              <w:t>（13）投标人名称与营业执照、基本账户开户许可证（或基本存款账户信息）一致，如企业名称有变更的，应提供企业法人营业执照和资质证书的副本变更记录或相关部门的合法批件复印件。</w:t>
            </w:r>
          </w:p>
          <w:p>
            <w:pPr>
              <w:spacing w:line="360" w:lineRule="exact"/>
              <w:rPr>
                <w:rFonts w:hint="eastAsia" w:ascii="宋体" w:hAnsi="宋体"/>
                <w:b/>
              </w:rPr>
            </w:pPr>
            <w:r>
              <w:rPr>
                <w:rFonts w:hint="eastAsia" w:ascii="宋体" w:hAnsi="宋体"/>
                <w:b/>
              </w:rPr>
              <w:t>第二个信封（报价文件）评审标准：</w:t>
            </w:r>
          </w:p>
          <w:p>
            <w:pPr>
              <w:spacing w:line="360" w:lineRule="exact"/>
              <w:ind w:firstLine="210" w:firstLineChars="100"/>
              <w:rPr>
                <w:rFonts w:hint="eastAsia" w:ascii="宋体" w:hAnsi="宋体"/>
              </w:rPr>
            </w:pPr>
            <w:r>
              <w:rPr>
                <w:rFonts w:hint="eastAsia" w:ascii="宋体" w:hAnsi="宋体"/>
              </w:rPr>
              <w:t>（1）投标文件按照招标文件规定的格式、内容填写，字迹清晰可辨，内容齐全完整：</w:t>
            </w:r>
          </w:p>
          <w:p>
            <w:pPr>
              <w:spacing w:line="360" w:lineRule="exact"/>
              <w:ind w:firstLine="210" w:firstLineChars="100"/>
              <w:rPr>
                <w:rFonts w:hint="eastAsia" w:ascii="宋体" w:hAnsi="宋体"/>
              </w:rPr>
            </w:pPr>
            <w:r>
              <w:rPr>
                <w:rFonts w:hint="eastAsia" w:ascii="宋体" w:hAnsi="宋体"/>
              </w:rPr>
              <w:t>a．投标函按招标文件规定填报了项目名称、补遗书编号（如有）、投标价；</w:t>
            </w:r>
          </w:p>
          <w:p>
            <w:pPr>
              <w:spacing w:line="360" w:lineRule="exact"/>
              <w:ind w:firstLine="210" w:firstLineChars="100"/>
              <w:rPr>
                <w:rFonts w:hint="eastAsia" w:ascii="宋体" w:hAnsi="宋体"/>
              </w:rPr>
            </w:pPr>
            <w:r>
              <w:rPr>
                <w:rFonts w:hint="eastAsia" w:ascii="宋体" w:hAnsi="宋体"/>
              </w:rPr>
              <w:t xml:space="preserve">b．投标文件组成齐全完整，内容均按规定填写。 </w:t>
            </w:r>
          </w:p>
          <w:p>
            <w:pPr>
              <w:spacing w:line="360" w:lineRule="exact"/>
              <w:ind w:firstLine="210" w:firstLineChars="100"/>
              <w:rPr>
                <w:rFonts w:hint="eastAsia" w:ascii="宋体" w:hAnsi="宋体"/>
              </w:rPr>
            </w:pPr>
            <w:r>
              <w:rPr>
                <w:rFonts w:hint="eastAsia" w:ascii="宋体" w:hAnsi="宋体"/>
              </w:rPr>
              <w:t>（2）投标文件上法定代表人或其授权代理人的签字、投标人的单位章盖章齐全，符合招标文件规定；</w:t>
            </w:r>
          </w:p>
          <w:p>
            <w:pPr>
              <w:spacing w:line="360" w:lineRule="exact"/>
              <w:ind w:firstLine="210" w:firstLineChars="100"/>
              <w:rPr>
                <w:rFonts w:hint="eastAsia" w:ascii="宋体" w:hAnsi="宋体"/>
              </w:rPr>
            </w:pPr>
            <w:r>
              <w:rPr>
                <w:rFonts w:hint="eastAsia" w:ascii="宋体" w:hAnsi="宋体"/>
              </w:rPr>
              <w:t>（3）投标函中的报价未超过招标文件设定的最高投标限价。</w:t>
            </w:r>
          </w:p>
          <w:p>
            <w:pPr>
              <w:spacing w:line="360" w:lineRule="exact"/>
              <w:ind w:firstLine="210" w:firstLineChars="100"/>
              <w:rPr>
                <w:rFonts w:hint="eastAsia" w:ascii="宋体" w:hAnsi="宋体"/>
              </w:rPr>
            </w:pPr>
            <w:r>
              <w:rPr>
                <w:rFonts w:hint="eastAsia" w:ascii="宋体" w:hAnsi="宋体"/>
              </w:rPr>
              <w:t>（4）投标报价的大写金额能够确定具体数值。</w:t>
            </w:r>
          </w:p>
          <w:p>
            <w:pPr>
              <w:spacing w:line="360" w:lineRule="exact"/>
              <w:ind w:firstLine="210" w:firstLineChars="100"/>
              <w:rPr>
                <w:rFonts w:ascii="宋体" w:hAnsi="宋体"/>
                <w:kern w:val="0"/>
              </w:rPr>
            </w:pPr>
            <w:r>
              <w:rPr>
                <w:rFonts w:hint="eastAsia" w:ascii="宋体" w:hAnsi="宋体"/>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2.1.2</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资格评审标准</w:t>
            </w:r>
          </w:p>
        </w:tc>
        <w:tc>
          <w:tcPr>
            <w:tcW w:w="73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（1）投标人具备有效的营业执照、基本账户开户许可证（或基本存款账户信息）；</w:t>
            </w:r>
          </w:p>
          <w:p>
            <w:pPr>
              <w:rPr>
                <w:rFonts w:hint="eastAsia" w:ascii="宋体" w:hAnsi="宋体"/>
              </w:rPr>
            </w:pPr>
            <w:r>
              <w:rPr>
                <w:rFonts w:hint="eastAsia" w:ascii="宋体" w:hAnsi="宋体"/>
              </w:rPr>
              <w:t>（2）投标人的资质符合招标文件规定。</w:t>
            </w:r>
          </w:p>
          <w:p>
            <w:pPr>
              <w:rPr>
                <w:rFonts w:hint="eastAsia" w:ascii="宋体" w:hAnsi="宋体"/>
              </w:rPr>
            </w:pPr>
            <w:r>
              <w:rPr>
                <w:rFonts w:hint="eastAsia" w:ascii="宋体" w:hAnsi="宋体"/>
              </w:rPr>
              <w:t>（3）投标人的业绩符合招标文件的规定。</w:t>
            </w:r>
          </w:p>
          <w:p>
            <w:pPr>
              <w:rPr>
                <w:rFonts w:hint="eastAsia" w:ascii="宋体" w:hAnsi="宋体"/>
              </w:rPr>
            </w:pPr>
            <w:r>
              <w:rPr>
                <w:rFonts w:hint="eastAsia" w:ascii="宋体" w:hAnsi="宋体"/>
              </w:rPr>
              <w:t>（4）投标人的信誉符合招标文件的规定。</w:t>
            </w:r>
          </w:p>
          <w:p>
            <w:pPr>
              <w:pStyle w:val="2"/>
              <w:spacing w:before="0" w:beforeAutospacing="0"/>
              <w:rPr>
                <w:rFonts w:hint="eastAsia"/>
              </w:rPr>
            </w:pPr>
            <w:r>
              <w:rPr>
                <w:rFonts w:hint="eastAsia" w:ascii="宋体" w:hAnsi="宋体"/>
              </w:rPr>
              <w:t>（5）投标人的主要人员符合招标文件的规定。</w:t>
            </w:r>
          </w:p>
          <w:p>
            <w:pPr>
              <w:rPr>
                <w:rFonts w:ascii="宋体" w:hAnsi="宋体"/>
              </w:rPr>
            </w:pPr>
            <w:r>
              <w:rPr>
                <w:rFonts w:hint="eastAsia" w:ascii="宋体" w:hAnsi="宋体"/>
              </w:rPr>
              <w:t>（6）投标人不存在第二章“投标人须知”第1.4.3项或1.4.4项规定的任何一种情形。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2.2.1</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分值构成（总分100分）</w:t>
            </w:r>
          </w:p>
        </w:tc>
        <w:tc>
          <w:tcPr>
            <w:tcW w:w="736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rPr>
            </w:pPr>
            <w:r>
              <w:rPr>
                <w:rFonts w:hint="eastAsia" w:ascii="宋体" w:hAnsi="宋体"/>
                <w:b/>
              </w:rPr>
              <w:t>第一个信封（商务及技术文件）评分分值构成：</w:t>
            </w:r>
          </w:p>
          <w:p>
            <w:pPr>
              <w:spacing w:line="360" w:lineRule="exact"/>
              <w:rPr>
                <w:rFonts w:hint="eastAsia" w:ascii="宋体" w:hAnsi="宋体"/>
              </w:rPr>
            </w:pPr>
            <w:r>
              <w:rPr>
                <w:rFonts w:hint="eastAsia" w:ascii="宋体" w:hAnsi="宋体"/>
              </w:rPr>
              <w:t>技术部分：60分</w:t>
            </w:r>
          </w:p>
          <w:p>
            <w:pPr>
              <w:spacing w:line="360" w:lineRule="exact"/>
              <w:rPr>
                <w:rFonts w:hint="eastAsia" w:ascii="宋体" w:hAnsi="宋体"/>
              </w:rPr>
            </w:pPr>
            <w:r>
              <w:rPr>
                <w:rFonts w:hint="eastAsia" w:ascii="宋体" w:hAnsi="宋体"/>
              </w:rPr>
              <w:t>商务部分：30分</w:t>
            </w:r>
          </w:p>
          <w:p>
            <w:pPr>
              <w:spacing w:line="360" w:lineRule="exact"/>
              <w:rPr>
                <w:rFonts w:hint="eastAsia" w:ascii="宋体" w:hAnsi="宋体"/>
                <w:b/>
              </w:rPr>
            </w:pPr>
            <w:r>
              <w:rPr>
                <w:rFonts w:hint="eastAsia" w:ascii="宋体" w:hAnsi="宋体"/>
                <w:b/>
              </w:rPr>
              <w:t>第二个信封（报价文件）评分分值构成：</w:t>
            </w:r>
          </w:p>
          <w:p>
            <w:pPr>
              <w:rPr>
                <w:rFonts w:ascii="宋体" w:hAnsi="宋体"/>
              </w:rPr>
            </w:pPr>
            <w:r>
              <w:rPr>
                <w:rFonts w:hint="eastAsia" w:ascii="宋体" w:hAnsi="宋体"/>
              </w:rPr>
              <w:t>评标价：10分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2.2.2</w:t>
            </w:r>
          </w:p>
        </w:tc>
        <w:tc>
          <w:tcPr>
            <w:tcW w:w="1275" w:type="dxa"/>
            <w:tcBorders>
              <w:top w:val="single" w:color="auto" w:sz="4" w:space="0"/>
              <w:left w:val="single" w:color="auto" w:sz="4" w:space="0"/>
              <w:bottom w:val="single" w:color="auto" w:sz="4" w:space="0"/>
              <w:right w:val="single" w:color="auto" w:sz="4" w:space="0"/>
            </w:tcBorders>
            <w:vAlign w:val="center"/>
          </w:tcPr>
          <w:p>
            <w:pPr>
              <w:ind w:left="2"/>
              <w:jc w:val="center"/>
              <w:rPr>
                <w:rFonts w:ascii="宋体" w:hAnsi="宋体"/>
              </w:rPr>
            </w:pPr>
            <w:r>
              <w:rPr>
                <w:rFonts w:hint="eastAsia" w:ascii="宋体" w:hAnsi="宋体"/>
              </w:rPr>
              <w:t>评标基准价计算方法</w:t>
            </w:r>
          </w:p>
        </w:tc>
        <w:tc>
          <w:tcPr>
            <w:tcW w:w="7368" w:type="dxa"/>
            <w:tcBorders>
              <w:top w:val="single" w:color="auto" w:sz="4" w:space="0"/>
              <w:left w:val="single" w:color="auto" w:sz="4" w:space="0"/>
              <w:bottom w:val="single" w:color="auto" w:sz="4" w:space="0"/>
              <w:right w:val="single" w:color="auto" w:sz="4" w:space="0"/>
            </w:tcBorders>
            <w:vAlign w:val="center"/>
          </w:tcPr>
          <w:p>
            <w:pPr>
              <w:spacing w:line="340" w:lineRule="exact"/>
              <w:ind w:right="113"/>
              <w:rPr>
                <w:rFonts w:ascii="宋体" w:hAnsi="宋体"/>
              </w:rPr>
            </w:pPr>
            <w:r>
              <w:rPr>
                <w:rFonts w:hint="eastAsia" w:ascii="宋体" w:hAnsi="宋体"/>
              </w:rPr>
              <w:t>评标基准价的计算：</w:t>
            </w:r>
          </w:p>
          <w:p>
            <w:pPr>
              <w:spacing w:line="340" w:lineRule="exact"/>
              <w:ind w:left="113" w:right="113" w:firstLine="210" w:firstLineChars="100"/>
              <w:rPr>
                <w:rFonts w:hint="eastAsia" w:ascii="宋体" w:hAnsi="宋体"/>
              </w:rPr>
            </w:pPr>
            <w:r>
              <w:rPr>
                <w:rFonts w:hint="eastAsia" w:ascii="宋体" w:hAnsi="宋体"/>
              </w:rPr>
              <w:t>在开标现场，招标人将当场计算并宣布评标基准价。</w:t>
            </w:r>
          </w:p>
          <w:p>
            <w:pPr>
              <w:spacing w:line="340" w:lineRule="exact"/>
              <w:ind w:left="113" w:right="113" w:firstLine="210" w:firstLineChars="100"/>
              <w:rPr>
                <w:rFonts w:hint="eastAsia" w:ascii="宋体" w:hAnsi="宋体"/>
              </w:rPr>
            </w:pPr>
            <w:r>
              <w:rPr>
                <w:rFonts w:hint="eastAsia" w:ascii="宋体" w:hAnsi="宋体"/>
              </w:rPr>
              <w:t>（1）评标价的确定：</w:t>
            </w:r>
          </w:p>
          <w:p>
            <w:pPr>
              <w:spacing w:line="340" w:lineRule="exact"/>
              <w:ind w:left="113" w:right="113" w:firstLine="210" w:firstLineChars="100"/>
              <w:rPr>
                <w:rFonts w:hint="eastAsia" w:ascii="宋体" w:hAnsi="宋体"/>
              </w:rPr>
            </w:pPr>
            <w:r>
              <w:rPr>
                <w:rFonts w:hint="eastAsia" w:ascii="宋体" w:hAnsi="宋体"/>
              </w:rPr>
              <w:t>评标价=投标函报价</w:t>
            </w:r>
          </w:p>
          <w:p>
            <w:pPr>
              <w:spacing w:line="340" w:lineRule="exact"/>
              <w:ind w:left="113" w:right="113" w:firstLine="210" w:firstLineChars="100"/>
              <w:rPr>
                <w:rFonts w:hint="eastAsia" w:ascii="宋体" w:hAnsi="宋体"/>
              </w:rPr>
            </w:pPr>
            <w:r>
              <w:rPr>
                <w:rFonts w:hint="eastAsia" w:ascii="宋体" w:hAnsi="宋体"/>
              </w:rPr>
              <w:t>（2）评标价平均值的计算：</w:t>
            </w:r>
          </w:p>
          <w:p>
            <w:pPr>
              <w:spacing w:line="340" w:lineRule="exact"/>
              <w:ind w:right="113" w:firstLine="426" w:firstLineChars="203"/>
              <w:rPr>
                <w:rFonts w:hint="eastAsia" w:ascii="宋体" w:hAnsi="宋体"/>
              </w:rPr>
            </w:pPr>
            <w:r>
              <w:rPr>
                <w:rFonts w:hint="eastAsia" w:ascii="宋体" w:hAnsi="宋体"/>
              </w:rPr>
              <w:t>除按第二章“投标人须知”第5.2.4项规定开标现场被宣布为不进入评标基准价计算的投标报价之外，所有投标人的评标价的算术平均值即为评标价平均值。</w:t>
            </w:r>
          </w:p>
          <w:p>
            <w:pPr>
              <w:spacing w:line="340" w:lineRule="exact"/>
              <w:ind w:right="113" w:firstLine="426" w:firstLineChars="203"/>
              <w:rPr>
                <w:rFonts w:hint="eastAsia" w:ascii="宋体" w:hAnsi="宋体"/>
              </w:rPr>
            </w:pPr>
            <w:r>
              <w:rPr>
                <w:rFonts w:hint="eastAsia" w:ascii="宋体" w:hAnsi="宋体"/>
              </w:rPr>
              <w:t>（3）评标基准价的确定：</w:t>
            </w:r>
          </w:p>
          <w:p>
            <w:pPr>
              <w:spacing w:line="340" w:lineRule="exact"/>
              <w:ind w:right="113" w:firstLine="426" w:firstLineChars="203"/>
              <w:rPr>
                <w:rFonts w:hint="eastAsia" w:ascii="宋体" w:hAnsi="宋体"/>
              </w:rPr>
            </w:pPr>
            <w:r>
              <w:rPr>
                <w:rFonts w:hint="eastAsia" w:ascii="宋体" w:hAnsi="宋体"/>
              </w:rPr>
              <w:t>将评标价平均值直接作为评标基准价（评标基准价保留小数点后两位，小数点后第三位四舍五入）。</w:t>
            </w:r>
          </w:p>
          <w:p>
            <w:pPr>
              <w:spacing w:line="340" w:lineRule="exact"/>
              <w:ind w:right="113" w:firstLine="426" w:firstLineChars="203"/>
              <w:rPr>
                <w:rFonts w:ascii="宋体" w:hAnsi="宋体"/>
              </w:rPr>
            </w:pPr>
            <w:r>
              <w:rPr>
                <w:rFonts w:hint="eastAsia" w:ascii="宋体" w:hAnsi="宋体"/>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2.2.3</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评标价的偏差率计算公式</w:t>
            </w:r>
          </w:p>
        </w:tc>
        <w:tc>
          <w:tcPr>
            <w:tcW w:w="736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left"/>
              <w:rPr>
                <w:rFonts w:ascii="宋体" w:hAnsi="宋体"/>
              </w:rPr>
            </w:pPr>
            <w:r>
              <w:rPr>
                <w:rFonts w:hint="eastAsia" w:ascii="宋体" w:hAnsi="宋体"/>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需要补充的其他内容：无</w:t>
            </w:r>
          </w:p>
        </w:tc>
      </w:tr>
    </w:tbl>
    <w:p>
      <w:pPr>
        <w:pStyle w:val="7"/>
        <w:spacing w:line="360" w:lineRule="auto"/>
        <w:rPr>
          <w:rFonts w:hAnsi="宋体"/>
          <w:sz w:val="24"/>
          <w:szCs w:val="24"/>
        </w:rPr>
      </w:pPr>
      <w:r>
        <w:rPr>
          <w:rFonts w:hAnsi="宋体"/>
          <w:sz w:val="24"/>
          <w:szCs w:val="24"/>
        </w:rPr>
        <w:t xml:space="preserve"> </w:t>
      </w:r>
      <w:r>
        <w:rPr>
          <w:rFonts w:hint="eastAsia" w:ascii="宋体" w:hAnsi="宋体"/>
          <w:sz w:val="24"/>
          <w:szCs w:val="24"/>
        </w:rPr>
        <w:t>具体评分标准如下：</w:t>
      </w:r>
    </w:p>
    <w:tbl>
      <w:tblPr>
        <w:tblStyle w:val="8"/>
        <w:tblW w:w="94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26"/>
        <w:gridCol w:w="768"/>
        <w:gridCol w:w="557"/>
        <w:gridCol w:w="1558"/>
        <w:gridCol w:w="506"/>
        <w:gridCol w:w="55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b/>
                <w:kern w:val="0"/>
                <w:sz w:val="18"/>
                <w:szCs w:val="18"/>
              </w:rPr>
            </w:pPr>
            <w:bookmarkStart w:id="0" w:name="_GoBack"/>
            <w:r>
              <w:rPr>
                <w:rFonts w:hint="eastAsia" w:ascii="宋体" w:hAnsi="宋体"/>
                <w:b/>
                <w:kern w:val="0"/>
                <w:sz w:val="18"/>
                <w:szCs w:val="18"/>
              </w:rPr>
              <w:t>条款号</w:t>
            </w:r>
          </w:p>
        </w:tc>
        <w:tc>
          <w:tcPr>
            <w:tcW w:w="76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b/>
                <w:kern w:val="0"/>
                <w:sz w:val="18"/>
                <w:szCs w:val="18"/>
              </w:rPr>
            </w:pPr>
            <w:r>
              <w:rPr>
                <w:rFonts w:hint="eastAsia" w:ascii="宋体" w:hAnsi="宋体"/>
                <w:b/>
                <w:kern w:val="0"/>
                <w:sz w:val="18"/>
                <w:szCs w:val="18"/>
              </w:rPr>
              <w:t>评审因素</w:t>
            </w:r>
          </w:p>
        </w:tc>
        <w:tc>
          <w:tcPr>
            <w:tcW w:w="55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b/>
                <w:kern w:val="0"/>
                <w:sz w:val="18"/>
                <w:szCs w:val="18"/>
              </w:rPr>
            </w:pPr>
            <w:r>
              <w:rPr>
                <w:rFonts w:hint="eastAsia" w:ascii="宋体" w:hAnsi="宋体"/>
                <w:b/>
                <w:kern w:val="0"/>
                <w:sz w:val="18"/>
                <w:szCs w:val="18"/>
              </w:rPr>
              <w:t>评分因素权重分值</w:t>
            </w:r>
          </w:p>
        </w:tc>
        <w:tc>
          <w:tcPr>
            <w:tcW w:w="1558"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hAnsi="宋体"/>
                <w:b/>
                <w:kern w:val="0"/>
                <w:sz w:val="18"/>
                <w:szCs w:val="18"/>
              </w:rPr>
            </w:pPr>
            <w:r>
              <w:rPr>
                <w:rFonts w:hint="eastAsia" w:ascii="宋体" w:hAnsi="宋体"/>
                <w:b/>
                <w:kern w:val="0"/>
                <w:sz w:val="18"/>
                <w:szCs w:val="18"/>
              </w:rPr>
              <w:t>各评分因素细分项</w:t>
            </w:r>
          </w:p>
        </w:tc>
        <w:tc>
          <w:tcPr>
            <w:tcW w:w="506" w:type="dxa"/>
            <w:tcBorders>
              <w:top w:val="single" w:color="auto" w:sz="6" w:space="0"/>
              <w:left w:val="nil"/>
              <w:bottom w:val="single" w:color="auto" w:sz="6" w:space="0"/>
              <w:right w:val="single" w:color="auto" w:sz="4" w:space="0"/>
            </w:tcBorders>
            <w:vAlign w:val="center"/>
          </w:tcPr>
          <w:p>
            <w:pPr>
              <w:autoSpaceDE w:val="0"/>
              <w:autoSpaceDN w:val="0"/>
              <w:jc w:val="center"/>
              <w:rPr>
                <w:rFonts w:ascii="宋体" w:hAnsi="宋体"/>
                <w:b/>
                <w:kern w:val="0"/>
                <w:sz w:val="18"/>
                <w:szCs w:val="18"/>
              </w:rPr>
            </w:pPr>
            <w:r>
              <w:rPr>
                <w:rFonts w:hint="eastAsia" w:ascii="宋体" w:hAnsi="宋体"/>
                <w:b/>
                <w:kern w:val="0"/>
                <w:sz w:val="18"/>
                <w:szCs w:val="18"/>
              </w:rPr>
              <w:t>分值</w:t>
            </w:r>
          </w:p>
        </w:tc>
        <w:tc>
          <w:tcPr>
            <w:tcW w:w="5569" w:type="dxa"/>
            <w:tcBorders>
              <w:top w:val="single" w:color="auto" w:sz="6" w:space="0"/>
              <w:left w:val="nil"/>
              <w:bottom w:val="single" w:color="auto" w:sz="6" w:space="0"/>
              <w:right w:val="single" w:color="auto" w:sz="6" w:space="0"/>
            </w:tcBorders>
            <w:vAlign w:val="center"/>
          </w:tcPr>
          <w:p>
            <w:pPr>
              <w:autoSpaceDE w:val="0"/>
              <w:autoSpaceDN w:val="0"/>
              <w:jc w:val="center"/>
              <w:rPr>
                <w:rFonts w:ascii="宋体" w:hAnsi="宋体"/>
                <w:b/>
                <w:kern w:val="0"/>
                <w:sz w:val="18"/>
                <w:szCs w:val="18"/>
              </w:rPr>
            </w:pPr>
            <w:r>
              <w:rPr>
                <w:rFonts w:hint="eastAsia" w:ascii="宋体" w:hAnsi="宋体"/>
                <w:b/>
                <w:kern w:val="0"/>
                <w:sz w:val="18"/>
                <w:szCs w:val="18"/>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47" w:hRule="atLeast"/>
          <w:jc w:val="center"/>
        </w:trPr>
        <w:tc>
          <w:tcPr>
            <w:tcW w:w="526" w:type="dxa"/>
            <w:vMerge w:val="restart"/>
            <w:tcBorders>
              <w:top w:val="nil"/>
              <w:left w:val="single" w:color="auto" w:sz="6" w:space="0"/>
              <w:bottom w:val="single" w:color="auto" w:sz="6" w:space="0"/>
              <w:right w:val="single" w:color="auto" w:sz="6" w:space="0"/>
            </w:tcBorders>
            <w:vAlign w:val="center"/>
          </w:tcPr>
          <w:p>
            <w:pPr>
              <w:pStyle w:val="7"/>
              <w:spacing w:before="0" w:beforeAutospacing="0" w:after="0" w:afterAutospacing="0"/>
              <w:ind w:left="0"/>
              <w:jc w:val="center"/>
              <w:rPr>
                <w:rFonts w:ascii="宋体" w:hAnsi="宋体"/>
                <w:sz w:val="21"/>
                <w:szCs w:val="21"/>
              </w:rPr>
            </w:pPr>
            <w:r>
              <w:rPr>
                <w:rFonts w:hint="eastAsia" w:ascii="宋体" w:hAnsi="宋体"/>
                <w:sz w:val="21"/>
                <w:szCs w:val="21"/>
              </w:rPr>
              <w:t>2.2.4（1）</w:t>
            </w:r>
          </w:p>
        </w:tc>
        <w:tc>
          <w:tcPr>
            <w:tcW w:w="768" w:type="dxa"/>
            <w:vMerge w:val="restart"/>
            <w:tcBorders>
              <w:top w:val="nil"/>
              <w:left w:val="single" w:color="auto" w:sz="6" w:space="0"/>
              <w:bottom w:val="single" w:color="auto" w:sz="6" w:space="0"/>
              <w:right w:val="single" w:color="auto" w:sz="6" w:space="0"/>
            </w:tcBorders>
            <w:vAlign w:val="center"/>
          </w:tcPr>
          <w:p>
            <w:pPr>
              <w:pStyle w:val="7"/>
              <w:spacing w:before="0" w:beforeAutospacing="0" w:after="0" w:afterAutospacing="0"/>
              <w:ind w:left="0"/>
              <w:jc w:val="center"/>
              <w:rPr>
                <w:rFonts w:ascii="宋体" w:hAnsi="宋体"/>
                <w:sz w:val="21"/>
                <w:szCs w:val="21"/>
              </w:rPr>
            </w:pPr>
            <w:r>
              <w:rPr>
                <w:rFonts w:hint="eastAsia" w:ascii="宋体" w:hAnsi="宋体"/>
                <w:sz w:val="21"/>
                <w:szCs w:val="21"/>
              </w:rPr>
              <w:t>技术部分</w:t>
            </w:r>
          </w:p>
        </w:tc>
        <w:tc>
          <w:tcPr>
            <w:tcW w:w="557" w:type="dxa"/>
            <w:vMerge w:val="restart"/>
            <w:tcBorders>
              <w:top w:val="nil"/>
              <w:left w:val="single" w:color="auto" w:sz="6" w:space="0"/>
              <w:bottom w:val="single" w:color="auto" w:sz="6" w:space="0"/>
              <w:right w:val="single" w:color="auto" w:sz="6" w:space="0"/>
            </w:tcBorders>
            <w:vAlign w:val="center"/>
          </w:tcPr>
          <w:p>
            <w:pPr>
              <w:pStyle w:val="7"/>
              <w:spacing w:before="0" w:beforeAutospacing="0" w:after="0" w:afterAutospacing="0"/>
              <w:ind w:left="0"/>
              <w:jc w:val="center"/>
              <w:rPr>
                <w:rFonts w:ascii="宋体" w:hAnsi="宋体"/>
                <w:sz w:val="21"/>
                <w:szCs w:val="21"/>
              </w:rPr>
            </w:pPr>
            <w:r>
              <w:rPr>
                <w:rFonts w:hint="eastAsia" w:ascii="宋体" w:hAnsi="宋体"/>
                <w:sz w:val="21"/>
                <w:szCs w:val="21"/>
              </w:rPr>
              <w:t>60分</w:t>
            </w:r>
          </w:p>
        </w:tc>
        <w:tc>
          <w:tcPr>
            <w:tcW w:w="1558"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hAnsi="宋体"/>
                <w:kern w:val="0"/>
              </w:rPr>
            </w:pPr>
            <w:r>
              <w:rPr>
                <w:rFonts w:hint="eastAsia" w:ascii="宋体" w:hAnsi="宋体"/>
              </w:rPr>
              <w:t>整体服务方案</w:t>
            </w:r>
          </w:p>
        </w:tc>
        <w:tc>
          <w:tcPr>
            <w:tcW w:w="506" w:type="dxa"/>
            <w:tcBorders>
              <w:top w:val="single" w:color="auto" w:sz="6" w:space="0"/>
              <w:left w:val="nil"/>
              <w:bottom w:val="single" w:color="auto" w:sz="6" w:space="0"/>
              <w:right w:val="single" w:color="auto" w:sz="4" w:space="0"/>
            </w:tcBorders>
            <w:vAlign w:val="center"/>
          </w:tcPr>
          <w:p>
            <w:pPr>
              <w:autoSpaceDE w:val="0"/>
              <w:autoSpaceDN w:val="0"/>
              <w:jc w:val="center"/>
              <w:rPr>
                <w:rFonts w:ascii="宋体" w:hAnsi="宋体"/>
                <w:kern w:val="0"/>
              </w:rPr>
            </w:pPr>
            <w:r>
              <w:rPr>
                <w:rFonts w:hint="eastAsia" w:ascii="宋体" w:hAnsi="宋体"/>
              </w:rPr>
              <w:t>10分</w:t>
            </w:r>
          </w:p>
        </w:tc>
        <w:tc>
          <w:tcPr>
            <w:tcW w:w="5569" w:type="dxa"/>
            <w:tcBorders>
              <w:top w:val="single" w:color="auto" w:sz="6" w:space="0"/>
              <w:left w:val="nil"/>
              <w:bottom w:val="single" w:color="auto" w:sz="6" w:space="0"/>
              <w:right w:val="single" w:color="auto" w:sz="6" w:space="0"/>
            </w:tcBorders>
            <w:vAlign w:val="center"/>
          </w:tcPr>
          <w:p>
            <w:pPr>
              <w:adjustRightInd w:val="0"/>
              <w:snapToGrid w:val="0"/>
              <w:jc w:val="left"/>
              <w:rPr>
                <w:rFonts w:ascii="宋体" w:hAnsi="宋体"/>
              </w:rPr>
            </w:pPr>
            <w:r>
              <w:rPr>
                <w:rFonts w:hint="eastAsia" w:ascii="宋体" w:hAnsi="宋体"/>
              </w:rPr>
              <w:t>投标人应提供详细的整体服务方案：</w:t>
            </w:r>
          </w:p>
          <w:p>
            <w:pPr>
              <w:adjustRightInd w:val="0"/>
              <w:snapToGrid w:val="0"/>
              <w:jc w:val="left"/>
              <w:rPr>
                <w:rFonts w:hint="eastAsia" w:ascii="宋体" w:hAnsi="宋体"/>
              </w:rPr>
            </w:pPr>
            <w:r>
              <w:rPr>
                <w:rFonts w:hint="eastAsia" w:ascii="宋体" w:hAnsi="宋体"/>
              </w:rPr>
              <w:t>服务方案完善详细，能够完全满足采购人需求的，得8.0-10.0分；</w:t>
            </w:r>
          </w:p>
          <w:p>
            <w:pPr>
              <w:adjustRightInd w:val="0"/>
              <w:snapToGrid w:val="0"/>
              <w:jc w:val="left"/>
              <w:rPr>
                <w:rFonts w:hint="eastAsia" w:ascii="宋体" w:hAnsi="宋体"/>
              </w:rPr>
            </w:pPr>
            <w:r>
              <w:rPr>
                <w:rFonts w:hint="eastAsia" w:ascii="宋体" w:hAnsi="宋体"/>
              </w:rPr>
              <w:t>服务方案合理比较详细，能够较好满足招标人需求的，得6.0-8.0分；</w:t>
            </w:r>
          </w:p>
          <w:p>
            <w:pPr>
              <w:adjustRightInd w:val="0"/>
              <w:snapToGrid w:val="0"/>
              <w:jc w:val="left"/>
              <w:rPr>
                <w:rFonts w:ascii="宋体" w:hAnsi="宋体"/>
              </w:rPr>
            </w:pPr>
            <w:r>
              <w:rPr>
                <w:rFonts w:hint="eastAsia" w:ascii="宋体" w:hAnsi="宋体"/>
              </w:rPr>
              <w:t>服务方案一般，基本满足招标人需求的，得6.0分。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47" w:hRule="atLeast"/>
          <w:jc w:val="center"/>
        </w:trPr>
        <w:tc>
          <w:tcPr>
            <w:tcW w:w="526"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rPr>
            </w:pPr>
          </w:p>
        </w:tc>
        <w:tc>
          <w:tcPr>
            <w:tcW w:w="768"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rPr>
            </w:pPr>
          </w:p>
        </w:tc>
        <w:tc>
          <w:tcPr>
            <w:tcW w:w="8190"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rPr>
            </w:pPr>
          </w:p>
        </w:tc>
        <w:tc>
          <w:tcPr>
            <w:tcW w:w="1558" w:type="dxa"/>
            <w:tcBorders>
              <w:top w:val="single" w:color="auto" w:sz="6" w:space="0"/>
              <w:left w:val="single" w:color="auto" w:sz="6" w:space="0"/>
              <w:bottom w:val="single" w:color="auto" w:sz="6" w:space="0"/>
              <w:right w:val="single" w:color="auto" w:sz="4" w:space="0"/>
            </w:tcBorders>
            <w:vAlign w:val="center"/>
          </w:tcPr>
          <w:p>
            <w:pPr>
              <w:pStyle w:val="6"/>
              <w:jc w:val="center"/>
              <w:rPr>
                <w:rFonts w:hAnsi="宋体"/>
              </w:rPr>
            </w:pPr>
            <w:r>
              <w:rPr>
                <w:rFonts w:hint="eastAsia" w:hAnsi="宋体"/>
              </w:rPr>
              <w:t>综合实力</w:t>
            </w:r>
          </w:p>
        </w:tc>
        <w:tc>
          <w:tcPr>
            <w:tcW w:w="506" w:type="dxa"/>
            <w:tcBorders>
              <w:top w:val="single" w:color="auto" w:sz="4" w:space="0"/>
              <w:left w:val="nil"/>
              <w:bottom w:val="single" w:color="auto" w:sz="6" w:space="0"/>
              <w:right w:val="single" w:color="auto" w:sz="4" w:space="0"/>
            </w:tcBorders>
            <w:vAlign w:val="center"/>
          </w:tcPr>
          <w:p>
            <w:pPr>
              <w:pStyle w:val="6"/>
              <w:jc w:val="center"/>
              <w:rPr>
                <w:rFonts w:hAnsi="宋体"/>
                <w:kern w:val="0"/>
              </w:rPr>
            </w:pPr>
            <w:r>
              <w:rPr>
                <w:rFonts w:hint="eastAsia" w:hAnsi="宋体"/>
              </w:rPr>
              <w:t>10分</w:t>
            </w:r>
          </w:p>
        </w:tc>
        <w:tc>
          <w:tcPr>
            <w:tcW w:w="5569" w:type="dxa"/>
            <w:tcBorders>
              <w:top w:val="single" w:color="auto" w:sz="4" w:space="0"/>
              <w:left w:val="nil"/>
              <w:bottom w:val="single" w:color="auto" w:sz="6" w:space="0"/>
              <w:right w:val="single" w:color="auto" w:sz="6" w:space="0"/>
            </w:tcBorders>
            <w:vAlign w:val="center"/>
          </w:tcPr>
          <w:p>
            <w:pPr>
              <w:adjustRightInd w:val="0"/>
              <w:snapToGrid w:val="0"/>
              <w:jc w:val="left"/>
              <w:rPr>
                <w:rFonts w:ascii="宋体" w:hAnsi="宋体"/>
              </w:rPr>
            </w:pPr>
            <w:r>
              <w:rPr>
                <w:rFonts w:hint="eastAsia" w:ascii="宋体" w:hAnsi="宋体"/>
              </w:rPr>
              <w:t xml:space="preserve">投标人对自身组织机构、规章制度进行描述： </w:t>
            </w:r>
          </w:p>
          <w:p>
            <w:pPr>
              <w:adjustRightInd w:val="0"/>
              <w:snapToGrid w:val="0"/>
              <w:jc w:val="left"/>
              <w:rPr>
                <w:rFonts w:hint="eastAsia" w:ascii="宋体" w:hAnsi="宋体"/>
              </w:rPr>
            </w:pPr>
            <w:r>
              <w:rPr>
                <w:rFonts w:hint="eastAsia" w:ascii="宋体" w:hAnsi="宋体"/>
              </w:rPr>
              <w:t>组织机构完善、规章制度齐全，得8.0-10.0分；</w:t>
            </w:r>
          </w:p>
          <w:p>
            <w:pPr>
              <w:adjustRightInd w:val="0"/>
              <w:snapToGrid w:val="0"/>
              <w:jc w:val="left"/>
              <w:rPr>
                <w:rFonts w:hint="eastAsia" w:ascii="宋体" w:hAnsi="宋体"/>
              </w:rPr>
            </w:pPr>
            <w:r>
              <w:rPr>
                <w:rFonts w:hint="eastAsia" w:ascii="宋体" w:hAnsi="宋体"/>
              </w:rPr>
              <w:t>组织机构基本完善，规章制度较齐全，得6.0-8.0分；</w:t>
            </w:r>
          </w:p>
          <w:p>
            <w:pPr>
              <w:adjustRightInd w:val="0"/>
              <w:snapToGrid w:val="0"/>
              <w:jc w:val="left"/>
              <w:rPr>
                <w:rFonts w:ascii="宋体" w:hAnsi="宋体"/>
              </w:rPr>
            </w:pPr>
            <w:r>
              <w:rPr>
                <w:rFonts w:hint="eastAsia" w:ascii="宋体" w:hAnsi="宋体"/>
              </w:rPr>
              <w:t>组织机构、规章制度等基本满足招标人需求的，得6.0分。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47" w:hRule="atLeast"/>
          <w:jc w:val="center"/>
        </w:trPr>
        <w:tc>
          <w:tcPr>
            <w:tcW w:w="526"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rPr>
            </w:pPr>
          </w:p>
        </w:tc>
        <w:tc>
          <w:tcPr>
            <w:tcW w:w="768"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rPr>
            </w:pPr>
          </w:p>
        </w:tc>
        <w:tc>
          <w:tcPr>
            <w:tcW w:w="8190"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rPr>
            </w:pPr>
          </w:p>
        </w:tc>
        <w:tc>
          <w:tcPr>
            <w:tcW w:w="1558"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rPr>
            </w:pPr>
            <w:r>
              <w:rPr>
                <w:rFonts w:hint="eastAsia" w:ascii="宋体" w:hAnsi="宋体"/>
              </w:rPr>
              <w:t>服务质量保证措施、服务进度保证措施及服务安全保证措施</w:t>
            </w:r>
          </w:p>
        </w:tc>
        <w:tc>
          <w:tcPr>
            <w:tcW w:w="506" w:type="dxa"/>
            <w:tcBorders>
              <w:top w:val="single" w:color="auto" w:sz="4" w:space="0"/>
              <w:left w:val="nil"/>
              <w:bottom w:val="single" w:color="auto" w:sz="6" w:space="0"/>
              <w:right w:val="single" w:color="auto" w:sz="4" w:space="0"/>
            </w:tcBorders>
            <w:vAlign w:val="center"/>
          </w:tcPr>
          <w:p>
            <w:pPr>
              <w:jc w:val="center"/>
              <w:rPr>
                <w:rFonts w:ascii="宋体" w:hAnsi="宋体"/>
              </w:rPr>
            </w:pPr>
            <w:r>
              <w:rPr>
                <w:rFonts w:hint="eastAsia" w:ascii="宋体" w:hAnsi="宋体"/>
              </w:rPr>
              <w:t>20分</w:t>
            </w:r>
          </w:p>
        </w:tc>
        <w:tc>
          <w:tcPr>
            <w:tcW w:w="5569" w:type="dxa"/>
            <w:tcBorders>
              <w:top w:val="single" w:color="auto" w:sz="4" w:space="0"/>
              <w:left w:val="nil"/>
              <w:bottom w:val="single" w:color="auto" w:sz="6" w:space="0"/>
              <w:right w:val="single" w:color="auto" w:sz="6" w:space="0"/>
            </w:tcBorders>
            <w:vAlign w:val="center"/>
          </w:tcPr>
          <w:p>
            <w:pPr>
              <w:adjustRightInd w:val="0"/>
              <w:snapToGrid w:val="0"/>
              <w:jc w:val="left"/>
              <w:rPr>
                <w:rFonts w:ascii="宋体" w:hAnsi="宋体"/>
              </w:rPr>
            </w:pPr>
            <w:r>
              <w:rPr>
                <w:rFonts w:hint="eastAsia" w:ascii="宋体" w:hAnsi="宋体"/>
              </w:rPr>
              <w:t>投标人应提供详细的服务质量、进度及安全保证措施：</w:t>
            </w:r>
          </w:p>
          <w:p>
            <w:pPr>
              <w:adjustRightInd w:val="0"/>
              <w:snapToGrid w:val="0"/>
              <w:jc w:val="left"/>
              <w:rPr>
                <w:rFonts w:hint="eastAsia" w:ascii="宋体" w:hAnsi="宋体"/>
              </w:rPr>
            </w:pPr>
            <w:r>
              <w:rPr>
                <w:rFonts w:hint="eastAsia" w:ascii="宋体" w:hAnsi="宋体"/>
              </w:rPr>
              <w:t>有针对性且完整合理，得16.0-20.0分；</w:t>
            </w:r>
          </w:p>
          <w:p>
            <w:pPr>
              <w:adjustRightInd w:val="0"/>
              <w:snapToGrid w:val="0"/>
              <w:jc w:val="left"/>
              <w:rPr>
                <w:rFonts w:hint="eastAsia" w:ascii="宋体" w:hAnsi="宋体"/>
              </w:rPr>
            </w:pPr>
            <w:r>
              <w:rPr>
                <w:rFonts w:hint="eastAsia" w:ascii="宋体" w:hAnsi="宋体"/>
              </w:rPr>
              <w:t>较合理，满足服务要求，得12.0－16.0分；</w:t>
            </w:r>
          </w:p>
          <w:p>
            <w:pPr>
              <w:adjustRightInd w:val="0"/>
              <w:snapToGrid w:val="0"/>
              <w:jc w:val="left"/>
              <w:rPr>
                <w:rFonts w:ascii="宋体" w:hAnsi="宋体"/>
              </w:rPr>
            </w:pPr>
            <w:r>
              <w:rPr>
                <w:rFonts w:hint="eastAsia" w:ascii="宋体" w:hAnsi="宋体"/>
              </w:rPr>
              <w:t>基本满足招标人需求的，得12.0分。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4" w:hRule="atLeast"/>
          <w:jc w:val="center"/>
        </w:trPr>
        <w:tc>
          <w:tcPr>
            <w:tcW w:w="526"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rPr>
            </w:pPr>
          </w:p>
        </w:tc>
        <w:tc>
          <w:tcPr>
            <w:tcW w:w="768"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rPr>
            </w:pPr>
          </w:p>
        </w:tc>
        <w:tc>
          <w:tcPr>
            <w:tcW w:w="8190"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rPr>
            </w:pPr>
          </w:p>
        </w:tc>
        <w:tc>
          <w:tcPr>
            <w:tcW w:w="1558" w:type="dxa"/>
            <w:tcBorders>
              <w:top w:val="single" w:color="auto" w:sz="6" w:space="0"/>
              <w:left w:val="single" w:color="auto" w:sz="6" w:space="0"/>
              <w:bottom w:val="single" w:color="auto" w:sz="6" w:space="0"/>
              <w:right w:val="single" w:color="auto" w:sz="4" w:space="0"/>
            </w:tcBorders>
            <w:vAlign w:val="center"/>
          </w:tcPr>
          <w:p>
            <w:pPr>
              <w:ind w:right="113"/>
              <w:jc w:val="center"/>
              <w:rPr>
                <w:rFonts w:ascii="宋体" w:hAnsi="宋体"/>
              </w:rPr>
            </w:pPr>
            <w:r>
              <w:rPr>
                <w:rFonts w:hint="eastAsia" w:ascii="宋体" w:hAnsi="宋体"/>
              </w:rPr>
              <w:t>服务过程中重点、难点分析和和关键节点服务（技术）措施</w:t>
            </w:r>
          </w:p>
        </w:tc>
        <w:tc>
          <w:tcPr>
            <w:tcW w:w="506" w:type="dxa"/>
            <w:tcBorders>
              <w:top w:val="single" w:color="auto" w:sz="4" w:space="0"/>
              <w:left w:val="nil"/>
              <w:bottom w:val="single" w:color="auto" w:sz="6" w:space="0"/>
              <w:right w:val="single" w:color="auto" w:sz="4" w:space="0"/>
            </w:tcBorders>
            <w:vAlign w:val="center"/>
          </w:tcPr>
          <w:p>
            <w:pPr>
              <w:jc w:val="center"/>
              <w:rPr>
                <w:rFonts w:ascii="宋体" w:hAnsi="宋体"/>
              </w:rPr>
            </w:pPr>
            <w:r>
              <w:rPr>
                <w:rFonts w:hint="eastAsia" w:ascii="宋体" w:hAnsi="宋体"/>
              </w:rPr>
              <w:t>15分</w:t>
            </w:r>
          </w:p>
        </w:tc>
        <w:tc>
          <w:tcPr>
            <w:tcW w:w="5569" w:type="dxa"/>
            <w:tcBorders>
              <w:top w:val="single" w:color="auto" w:sz="4" w:space="0"/>
              <w:left w:val="nil"/>
              <w:bottom w:val="single" w:color="auto" w:sz="6" w:space="0"/>
              <w:right w:val="single" w:color="auto" w:sz="6" w:space="0"/>
            </w:tcBorders>
            <w:vAlign w:val="center"/>
          </w:tcPr>
          <w:p>
            <w:pPr>
              <w:adjustRightInd w:val="0"/>
              <w:snapToGrid w:val="0"/>
              <w:rPr>
                <w:rFonts w:ascii="宋体" w:hAnsi="宋体"/>
              </w:rPr>
            </w:pPr>
            <w:r>
              <w:rPr>
                <w:rFonts w:hint="eastAsia" w:ascii="宋体" w:hAnsi="宋体"/>
              </w:rPr>
              <w:t>投标人应对服务过程中的重点、难点和关键节点分析并提出对应措施：</w:t>
            </w:r>
          </w:p>
          <w:p>
            <w:pPr>
              <w:adjustRightInd w:val="0"/>
              <w:snapToGrid w:val="0"/>
              <w:rPr>
                <w:rFonts w:hint="eastAsia" w:ascii="宋体" w:hAnsi="宋体"/>
              </w:rPr>
            </w:pPr>
            <w:r>
              <w:rPr>
                <w:rFonts w:hint="eastAsia" w:ascii="宋体" w:hAnsi="宋体"/>
              </w:rPr>
              <w:t xml:space="preserve">有针对性且完整合理，得12.0-15.0分； </w:t>
            </w:r>
          </w:p>
          <w:p>
            <w:pPr>
              <w:adjustRightInd w:val="0"/>
              <w:snapToGrid w:val="0"/>
              <w:rPr>
                <w:rFonts w:hint="eastAsia" w:ascii="宋体" w:hAnsi="宋体"/>
              </w:rPr>
            </w:pPr>
            <w:r>
              <w:rPr>
                <w:rFonts w:hint="eastAsia" w:ascii="宋体" w:hAnsi="宋体"/>
              </w:rPr>
              <w:t>较合理，满足服务要求，得9.0－12.0分，</w:t>
            </w:r>
          </w:p>
          <w:p>
            <w:pPr>
              <w:ind w:right="113"/>
              <w:rPr>
                <w:rFonts w:ascii="宋体" w:hAnsi="宋体"/>
              </w:rPr>
            </w:pPr>
            <w:r>
              <w:rPr>
                <w:rFonts w:hint="eastAsia" w:ascii="宋体" w:hAnsi="宋体"/>
              </w:rPr>
              <w:t>基本满足招标人需求的，得9.0分。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47" w:hRule="atLeast"/>
          <w:jc w:val="center"/>
        </w:trPr>
        <w:tc>
          <w:tcPr>
            <w:tcW w:w="526"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rPr>
            </w:pPr>
          </w:p>
        </w:tc>
        <w:tc>
          <w:tcPr>
            <w:tcW w:w="768"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rPr>
            </w:pPr>
          </w:p>
        </w:tc>
        <w:tc>
          <w:tcPr>
            <w:tcW w:w="8190" w:type="dxa"/>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rPr>
            </w:pPr>
          </w:p>
        </w:tc>
        <w:tc>
          <w:tcPr>
            <w:tcW w:w="1558" w:type="dxa"/>
            <w:tcBorders>
              <w:top w:val="single" w:color="auto" w:sz="6" w:space="0"/>
              <w:left w:val="single" w:color="auto" w:sz="6" w:space="0"/>
              <w:bottom w:val="single" w:color="auto" w:sz="6" w:space="0"/>
              <w:right w:val="single" w:color="auto" w:sz="4" w:space="0"/>
            </w:tcBorders>
            <w:vAlign w:val="center"/>
          </w:tcPr>
          <w:p>
            <w:pPr>
              <w:ind w:right="113"/>
              <w:jc w:val="center"/>
              <w:rPr>
                <w:rFonts w:ascii="宋体" w:hAnsi="宋体"/>
              </w:rPr>
            </w:pPr>
            <w:r>
              <w:rPr>
                <w:rFonts w:hint="eastAsia" w:ascii="宋体" w:hAnsi="宋体"/>
              </w:rPr>
              <w:t>服务承诺、后续服务安排及保证措施</w:t>
            </w:r>
          </w:p>
        </w:tc>
        <w:tc>
          <w:tcPr>
            <w:tcW w:w="506" w:type="dxa"/>
            <w:tcBorders>
              <w:top w:val="single" w:color="auto" w:sz="4" w:space="0"/>
              <w:left w:val="nil"/>
              <w:bottom w:val="single" w:color="auto" w:sz="6" w:space="0"/>
              <w:right w:val="single" w:color="auto" w:sz="4" w:space="0"/>
            </w:tcBorders>
            <w:vAlign w:val="center"/>
          </w:tcPr>
          <w:p>
            <w:pPr>
              <w:jc w:val="center"/>
              <w:rPr>
                <w:rFonts w:ascii="宋体" w:hAnsi="宋体"/>
              </w:rPr>
            </w:pPr>
            <w:r>
              <w:rPr>
                <w:rFonts w:hint="eastAsia" w:ascii="宋体" w:hAnsi="宋体"/>
              </w:rPr>
              <w:t>5分</w:t>
            </w:r>
          </w:p>
        </w:tc>
        <w:tc>
          <w:tcPr>
            <w:tcW w:w="5569" w:type="dxa"/>
            <w:tcBorders>
              <w:top w:val="single" w:color="auto" w:sz="4" w:space="0"/>
              <w:left w:val="nil"/>
              <w:bottom w:val="single" w:color="auto" w:sz="6" w:space="0"/>
              <w:right w:val="single" w:color="auto" w:sz="6" w:space="0"/>
            </w:tcBorders>
            <w:vAlign w:val="center"/>
          </w:tcPr>
          <w:p>
            <w:pPr>
              <w:adjustRightInd w:val="0"/>
              <w:snapToGrid w:val="0"/>
              <w:rPr>
                <w:rFonts w:ascii="宋体" w:hAnsi="宋体"/>
              </w:rPr>
            </w:pPr>
            <w:r>
              <w:rPr>
                <w:rFonts w:hint="eastAsia" w:ascii="宋体" w:hAnsi="宋体"/>
              </w:rPr>
              <w:t>投标人应对后续服务承诺、安排进行描述：</w:t>
            </w:r>
          </w:p>
          <w:p>
            <w:pPr>
              <w:adjustRightInd w:val="0"/>
              <w:snapToGrid w:val="0"/>
              <w:rPr>
                <w:rFonts w:hint="eastAsia" w:ascii="宋体" w:hAnsi="宋体"/>
              </w:rPr>
            </w:pPr>
            <w:r>
              <w:rPr>
                <w:rFonts w:hint="eastAsia" w:ascii="宋体" w:hAnsi="宋体"/>
              </w:rPr>
              <w:t>有针对性且完整合理，得4.0-5.0分。</w:t>
            </w:r>
          </w:p>
          <w:p>
            <w:pPr>
              <w:adjustRightInd w:val="0"/>
              <w:snapToGrid w:val="0"/>
              <w:rPr>
                <w:rFonts w:hint="eastAsia" w:ascii="宋体" w:hAnsi="宋体"/>
              </w:rPr>
            </w:pPr>
            <w:r>
              <w:rPr>
                <w:rFonts w:hint="eastAsia" w:ascii="宋体" w:hAnsi="宋体"/>
              </w:rPr>
              <w:t>较合理，满足服务要求，得3.0－4.0分</w:t>
            </w:r>
          </w:p>
          <w:p>
            <w:pPr>
              <w:adjustRightInd w:val="0"/>
              <w:snapToGrid w:val="0"/>
              <w:rPr>
                <w:rFonts w:ascii="宋体" w:hAnsi="宋体"/>
              </w:rPr>
            </w:pPr>
            <w:r>
              <w:rPr>
                <w:rFonts w:hint="eastAsia" w:ascii="宋体" w:hAnsi="宋体"/>
              </w:rPr>
              <w:t>基本满足招标人需求的，得3.0分。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4"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kern w:val="0"/>
                <w:sz w:val="18"/>
                <w:szCs w:val="18"/>
              </w:rPr>
            </w:pPr>
          </w:p>
        </w:tc>
        <w:tc>
          <w:tcPr>
            <w:tcW w:w="768" w:type="dxa"/>
            <w:tcBorders>
              <w:top w:val="single" w:color="auto" w:sz="6" w:space="0"/>
              <w:left w:val="single" w:color="auto" w:sz="6" w:space="0"/>
              <w:bottom w:val="single" w:color="auto" w:sz="6" w:space="0"/>
              <w:right w:val="single" w:color="auto" w:sz="6" w:space="0"/>
            </w:tcBorders>
            <w:vAlign w:val="center"/>
          </w:tcPr>
          <w:p>
            <w:pPr>
              <w:pStyle w:val="7"/>
              <w:spacing w:before="0" w:beforeAutospacing="0" w:after="0" w:afterAutospacing="0"/>
              <w:ind w:left="0"/>
              <w:jc w:val="center"/>
              <w:rPr>
                <w:rFonts w:ascii="宋体" w:hAnsi="宋体"/>
                <w:sz w:val="21"/>
                <w:szCs w:val="21"/>
              </w:rPr>
            </w:pPr>
            <w:r>
              <w:rPr>
                <w:rFonts w:hint="eastAsia" w:ascii="宋体" w:hAnsi="宋体"/>
                <w:sz w:val="21"/>
                <w:szCs w:val="21"/>
              </w:rPr>
              <w:t>商务部分</w:t>
            </w:r>
          </w:p>
        </w:tc>
        <w:tc>
          <w:tcPr>
            <w:tcW w:w="557" w:type="dxa"/>
            <w:tcBorders>
              <w:top w:val="single" w:color="auto" w:sz="6" w:space="0"/>
              <w:left w:val="single" w:color="auto" w:sz="6" w:space="0"/>
              <w:bottom w:val="single" w:color="auto" w:sz="6" w:space="0"/>
              <w:right w:val="single" w:color="auto" w:sz="6" w:space="0"/>
            </w:tcBorders>
            <w:vAlign w:val="center"/>
          </w:tcPr>
          <w:p>
            <w:pPr>
              <w:pStyle w:val="7"/>
              <w:spacing w:before="0" w:beforeAutospacing="0" w:after="0" w:afterAutospacing="0"/>
              <w:ind w:left="0"/>
              <w:jc w:val="center"/>
              <w:rPr>
                <w:rFonts w:ascii="宋体" w:hAnsi="宋体"/>
                <w:sz w:val="21"/>
                <w:szCs w:val="21"/>
              </w:rPr>
            </w:pPr>
            <w:r>
              <w:rPr>
                <w:rFonts w:hint="eastAsia" w:ascii="宋体" w:hAnsi="宋体"/>
                <w:sz w:val="21"/>
                <w:szCs w:val="21"/>
              </w:rPr>
              <w:t>30分</w:t>
            </w:r>
          </w:p>
        </w:tc>
        <w:tc>
          <w:tcPr>
            <w:tcW w:w="1558" w:type="dxa"/>
            <w:tcBorders>
              <w:top w:val="single" w:color="auto" w:sz="6" w:space="0"/>
              <w:left w:val="single" w:color="auto" w:sz="6" w:space="0"/>
              <w:bottom w:val="single" w:color="auto" w:sz="6" w:space="0"/>
              <w:right w:val="single" w:color="auto" w:sz="4" w:space="0"/>
            </w:tcBorders>
            <w:vAlign w:val="center"/>
          </w:tcPr>
          <w:p>
            <w:pPr>
              <w:pStyle w:val="7"/>
              <w:spacing w:before="0" w:beforeAutospacing="0" w:after="0" w:afterAutospacing="0"/>
              <w:ind w:left="0"/>
              <w:jc w:val="center"/>
              <w:rPr>
                <w:rFonts w:ascii="宋体" w:hAnsi="宋体"/>
                <w:sz w:val="21"/>
                <w:szCs w:val="21"/>
              </w:rPr>
            </w:pPr>
            <w:r>
              <w:rPr>
                <w:rFonts w:hint="eastAsia" w:ascii="宋体" w:hAnsi="宋体"/>
                <w:sz w:val="21"/>
                <w:szCs w:val="21"/>
              </w:rPr>
              <w:t>业绩</w:t>
            </w:r>
          </w:p>
        </w:tc>
        <w:tc>
          <w:tcPr>
            <w:tcW w:w="506" w:type="dxa"/>
            <w:tcBorders>
              <w:top w:val="single" w:color="auto" w:sz="4" w:space="0"/>
              <w:left w:val="nil"/>
              <w:bottom w:val="single" w:color="auto" w:sz="6" w:space="0"/>
              <w:right w:val="single" w:color="auto" w:sz="4" w:space="0"/>
            </w:tcBorders>
            <w:vAlign w:val="center"/>
          </w:tcPr>
          <w:p>
            <w:pPr>
              <w:pStyle w:val="7"/>
              <w:spacing w:before="0" w:beforeAutospacing="0" w:after="0" w:afterAutospacing="0"/>
              <w:ind w:left="0"/>
              <w:jc w:val="center"/>
              <w:rPr>
                <w:rFonts w:ascii="宋体" w:hAnsi="宋体"/>
                <w:kern w:val="0"/>
                <w:sz w:val="21"/>
                <w:szCs w:val="21"/>
              </w:rPr>
            </w:pPr>
            <w:r>
              <w:rPr>
                <w:rFonts w:hint="eastAsia" w:ascii="宋体" w:hAnsi="宋体"/>
                <w:kern w:val="0"/>
                <w:sz w:val="21"/>
                <w:szCs w:val="21"/>
              </w:rPr>
              <w:t>30分</w:t>
            </w:r>
          </w:p>
        </w:tc>
        <w:tc>
          <w:tcPr>
            <w:tcW w:w="5569" w:type="dxa"/>
            <w:tcBorders>
              <w:top w:val="single" w:color="auto" w:sz="4" w:space="0"/>
              <w:left w:val="nil"/>
              <w:bottom w:val="single" w:color="auto" w:sz="6" w:space="0"/>
              <w:right w:val="single" w:color="auto" w:sz="6" w:space="0"/>
            </w:tcBorders>
            <w:vAlign w:val="center"/>
          </w:tcPr>
          <w:p>
            <w:pPr>
              <w:textAlignment w:val="center"/>
              <w:rPr>
                <w:rFonts w:ascii="宋体" w:hAnsi="宋体"/>
              </w:rPr>
            </w:pPr>
            <w:r>
              <w:rPr>
                <w:rFonts w:hint="eastAsia" w:ascii="宋体" w:hAnsi="宋体"/>
              </w:rPr>
              <w:t>满足资格审查条件（业绩最低要求），得18分；在资格审查（业绩最低要求）的基础上，每增加1项满足资格审查（业绩最低要求）的业绩加6分，最多加12分。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kern w:val="0"/>
              </w:rPr>
            </w:pPr>
            <w:r>
              <w:rPr>
                <w:rFonts w:hint="eastAsia" w:ascii="宋体" w:hAnsi="宋体"/>
                <w:kern w:val="0"/>
              </w:rPr>
              <w:t>2.2.4（2）</w:t>
            </w:r>
          </w:p>
        </w:tc>
        <w:tc>
          <w:tcPr>
            <w:tcW w:w="76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rPr>
            </w:pPr>
            <w:r>
              <w:rPr>
                <w:rFonts w:hint="eastAsia" w:ascii="宋体" w:hAnsi="宋体"/>
                <w:kern w:val="0"/>
              </w:rPr>
              <w:t>评标价</w:t>
            </w:r>
          </w:p>
        </w:tc>
        <w:tc>
          <w:tcPr>
            <w:tcW w:w="55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rPr>
            </w:pPr>
            <w:r>
              <w:rPr>
                <w:rFonts w:hint="eastAsia" w:ascii="宋体" w:hAnsi="宋体"/>
                <w:kern w:val="0"/>
              </w:rPr>
              <w:t>10分</w:t>
            </w:r>
          </w:p>
        </w:tc>
        <w:tc>
          <w:tcPr>
            <w:tcW w:w="7633" w:type="dxa"/>
            <w:gridSpan w:val="3"/>
            <w:tcBorders>
              <w:top w:val="single" w:color="auto" w:sz="4" w:space="0"/>
              <w:left w:val="single" w:color="auto" w:sz="6" w:space="0"/>
              <w:bottom w:val="single" w:color="auto" w:sz="4" w:space="0"/>
              <w:right w:val="single" w:color="auto" w:sz="6" w:space="0"/>
            </w:tcBorders>
            <w:vAlign w:val="center"/>
          </w:tcPr>
          <w:p>
            <w:pPr>
              <w:rPr>
                <w:rFonts w:ascii="宋体" w:hAnsi="宋体"/>
              </w:rPr>
            </w:pPr>
            <w:r>
              <w:rPr>
                <w:rFonts w:hint="eastAsia" w:ascii="宋体" w:hAnsi="宋体"/>
              </w:rPr>
              <w:t>投标价得分计算公式示例：</w:t>
            </w:r>
          </w:p>
          <w:p>
            <w:pPr>
              <w:rPr>
                <w:rFonts w:hint="eastAsia" w:ascii="宋体" w:hAnsi="宋体"/>
              </w:rPr>
            </w:pPr>
            <w:r>
              <w:rPr>
                <w:rFonts w:hint="eastAsia" w:ascii="宋体" w:hAnsi="宋体"/>
              </w:rPr>
              <w:t>（1）如果投标人的评标价＞评标基准价，则投标价得分=F-（投标人评标价-评标基准价）/评标基准价×100×E1；</w:t>
            </w:r>
          </w:p>
          <w:p>
            <w:pPr>
              <w:rPr>
                <w:rFonts w:hint="eastAsia" w:ascii="宋体" w:hAnsi="宋体"/>
              </w:rPr>
            </w:pPr>
            <w:r>
              <w:rPr>
                <w:rFonts w:hint="eastAsia" w:ascii="宋体" w:hAnsi="宋体"/>
              </w:rPr>
              <w:t>（2）如果投标人的评标价≤评标基准价，则投标价得分=F+(投标人评标价-评标基准价)/评标基准价×100×E2。</w:t>
            </w:r>
          </w:p>
          <w:p>
            <w:pPr>
              <w:rPr>
                <w:rFonts w:hint="eastAsia" w:ascii="宋体" w:hAnsi="宋体"/>
              </w:rPr>
            </w:pPr>
            <w:r>
              <w:rPr>
                <w:rFonts w:hint="eastAsia" w:ascii="宋体" w:hAnsi="宋体"/>
              </w:rPr>
              <w:t>其中，F=10；E1=0.2；E2=0.1；投标价最低得分为0分。</w:t>
            </w:r>
          </w:p>
          <w:p>
            <w:pPr>
              <w:rPr>
                <w:rFonts w:ascii="宋体" w:hAnsi="宋体"/>
              </w:rPr>
            </w:pPr>
            <w:r>
              <w:rPr>
                <w:rFonts w:hint="eastAsia" w:ascii="宋体" w:hAnsi="宋体"/>
                <w:kern w:val="0"/>
              </w:rPr>
              <w:t>评标价得分</w:t>
            </w:r>
            <w:r>
              <w:rPr>
                <w:rFonts w:hint="eastAsia" w:ascii="宋体" w:hAnsi="宋体"/>
              </w:rPr>
              <w:t>保留小数点后两位，小数点后第三位四舍五入。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pPr>
              <w:pStyle w:val="6"/>
              <w:spacing w:line="240" w:lineRule="atLeast"/>
              <w:jc w:val="center"/>
              <w:rPr>
                <w:rFonts w:hAnsi="宋体"/>
              </w:rPr>
            </w:pPr>
            <w:r>
              <w:rPr>
                <w:rFonts w:hint="eastAsia" w:hAnsi="宋体"/>
              </w:rPr>
              <w:t>3.6.1</w:t>
            </w:r>
          </w:p>
        </w:tc>
        <w:tc>
          <w:tcPr>
            <w:tcW w:w="76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40" w:lineRule="exact"/>
              <w:rPr>
                <w:rFonts w:ascii="宋体" w:hAnsi="宋体"/>
                <w:kern w:val="28"/>
              </w:rPr>
            </w:pPr>
            <w:r>
              <w:rPr>
                <w:rFonts w:hint="eastAsia" w:ascii="宋体" w:hAnsi="宋体"/>
              </w:rPr>
              <w:t>投标文件相关信息的核查</w:t>
            </w:r>
          </w:p>
        </w:tc>
        <w:tc>
          <w:tcPr>
            <w:tcW w:w="8190"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spacing w:line="340" w:lineRule="exact"/>
              <w:rPr>
                <w:rFonts w:ascii="等线" w:hAnsi="等线" w:eastAsia="等线" w:cs="宋体"/>
              </w:rPr>
            </w:pPr>
            <w:r>
              <w:rPr>
                <w:rFonts w:hint="eastAsia" w:ascii="宋体" w:hAnsi="宋体"/>
              </w:rPr>
              <w:t>本款修改为：</w:t>
            </w:r>
          </w:p>
          <w:p>
            <w:pPr>
              <w:autoSpaceDE w:val="0"/>
              <w:autoSpaceDN w:val="0"/>
              <w:spacing w:line="360" w:lineRule="exact"/>
              <w:ind w:firstLine="420" w:firstLineChars="200"/>
              <w:rPr>
                <w:rFonts w:hint="eastAsia" w:ascii="宋体" w:hAnsi="宋体"/>
              </w:rPr>
            </w:pPr>
            <w:r>
              <w:rPr>
                <w:rFonts w:hint="eastAsia" w:ascii="宋体" w:hAnsi="宋体"/>
              </w:rPr>
              <w:t>在评标过程中，评标委员会应在“国家企业信用信息公示系统”和“信用中国”网站（http://www.creditchina.gov.cn/)对投标人的信用情况进行查询，若投标人未附相关资料或存在“国家企业信用信息公示系统” 被列入严重违法失信企业名单（不包括分公司、事业单位除外）或在“信用中国”网站“被列入失信被执行人名单、异常经营名录、税收违法黑名单、政府采购严重违法失信行为记录名单（均不含分公司）”情形的，评标委员会应否决其投标。</w:t>
            </w:r>
          </w:p>
          <w:p>
            <w:pPr>
              <w:adjustRightInd w:val="0"/>
              <w:snapToGrid w:val="0"/>
              <w:spacing w:line="340" w:lineRule="exact"/>
              <w:ind w:firstLine="420" w:firstLineChars="200"/>
              <w:rPr>
                <w:rFonts w:hint="eastAsia" w:ascii="宋体" w:hAnsi="宋体"/>
              </w:rPr>
            </w:pPr>
            <w:r>
              <w:rPr>
                <w:rFonts w:hint="eastAsia" w:ascii="宋体" w:hAnsi="宋体"/>
              </w:rPr>
              <w:t>若投标文件载明的信息与上述网站发布的信息不符，使得投标人的资格条件不符合招标文件规定的，评标委员会应否决其投标。</w:t>
            </w:r>
          </w:p>
          <w:p>
            <w:pPr>
              <w:adjustRightInd w:val="0"/>
              <w:snapToGrid w:val="0"/>
              <w:spacing w:line="340" w:lineRule="exact"/>
              <w:ind w:firstLine="404" w:firstLineChars="200"/>
              <w:rPr>
                <w:rFonts w:ascii="宋体" w:hAnsi="宋体"/>
                <w:kern w:val="28"/>
              </w:rPr>
            </w:pPr>
            <w:r>
              <w:rPr>
                <w:rFonts w:hint="eastAsia" w:ascii="宋体" w:hAnsi="宋体"/>
                <w:spacing w:val="-4"/>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bookmarkEnd w:id="0"/>
    </w:tbl>
    <w:p>
      <w:pPr>
        <w:spacing w:line="360" w:lineRule="exact"/>
      </w:pPr>
      <w:r>
        <w:t xml:space="preserve"> </w:t>
      </w:r>
    </w:p>
    <w:p>
      <w: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mIzNmM0MmQzNmQxNDU2NDNjZTJkYzZkYzZlNjcifQ=="/>
  </w:docVars>
  <w:rsids>
    <w:rsidRoot w:val="00680A7E"/>
    <w:rsid w:val="00680A7E"/>
    <w:rsid w:val="00C34579"/>
    <w:rsid w:val="4FB94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9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1"/>
    <w:link w:val="10"/>
    <w:qFormat/>
    <w:uiPriority w:val="99"/>
    <w:pPr>
      <w:keepNext/>
      <w:keepLines/>
      <w:spacing w:before="260" w:after="260" w:line="415" w:lineRule="auto"/>
      <w:outlineLvl w:val="1"/>
    </w:pPr>
    <w:rPr>
      <w:rFonts w:ascii="Arial" w:hAnsi="Arial" w:eastAsia="黑体"/>
      <w:b/>
      <w:sz w:val="32"/>
      <w:szCs w:val="32"/>
    </w:rPr>
  </w:style>
  <w:style w:type="paragraph" w:styleId="5">
    <w:name w:val="heading 3"/>
    <w:basedOn w:val="1"/>
    <w:next w:val="1"/>
    <w:link w:val="11"/>
    <w:qFormat/>
    <w:uiPriority w:val="99"/>
    <w:pPr>
      <w:keepNext/>
      <w:keepLines/>
      <w:spacing w:line="360" w:lineRule="auto"/>
      <w:outlineLvl w:val="2"/>
    </w:pPr>
    <w:rPr>
      <w:b/>
      <w:bCs/>
      <w:sz w:val="24"/>
      <w:szCs w:val="2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2"/>
    <w:unhideWhenUsed/>
    <w:qFormat/>
    <w:uiPriority w:val="99"/>
    <w:pPr>
      <w:spacing w:before="100" w:beforeAutospacing="1" w:after="120"/>
    </w:pPr>
  </w:style>
  <w:style w:type="paragraph" w:styleId="3">
    <w:name w:val="toc 2"/>
    <w:basedOn w:val="1"/>
    <w:next w:val="1"/>
    <w:semiHidden/>
    <w:unhideWhenUsed/>
    <w:uiPriority w:val="39"/>
    <w:pPr>
      <w:ind w:left="420" w:leftChars="200"/>
    </w:pPr>
  </w:style>
  <w:style w:type="paragraph" w:styleId="6">
    <w:name w:val="Plain Text"/>
    <w:basedOn w:val="1"/>
    <w:link w:val="13"/>
    <w:unhideWhenUsed/>
    <w:qFormat/>
    <w:uiPriority w:val="99"/>
    <w:rPr>
      <w:rFonts w:ascii="宋体" w:hAnsi="Courier New"/>
    </w:rPr>
  </w:style>
  <w:style w:type="paragraph" w:styleId="7">
    <w:name w:val="toc 4"/>
    <w:basedOn w:val="1"/>
    <w:next w:val="1"/>
    <w:unhideWhenUsed/>
    <w:uiPriority w:val="99"/>
    <w:pPr>
      <w:spacing w:before="100" w:beforeAutospacing="1" w:after="100" w:afterAutospacing="1"/>
      <w:ind w:left="630"/>
      <w:jc w:val="left"/>
    </w:pPr>
    <w:rPr>
      <w:sz w:val="18"/>
      <w:szCs w:val="18"/>
    </w:rPr>
  </w:style>
  <w:style w:type="character" w:customStyle="1" w:styleId="10">
    <w:name w:val="标题 2 Char"/>
    <w:basedOn w:val="9"/>
    <w:link w:val="4"/>
    <w:qFormat/>
    <w:uiPriority w:val="99"/>
    <w:rPr>
      <w:rFonts w:ascii="Arial" w:hAnsi="Arial" w:eastAsia="黑体" w:cs="Times New Roman"/>
      <w:b/>
      <w:sz w:val="32"/>
      <w:szCs w:val="32"/>
    </w:rPr>
  </w:style>
  <w:style w:type="character" w:customStyle="1" w:styleId="11">
    <w:name w:val="标题 3 Char"/>
    <w:basedOn w:val="9"/>
    <w:link w:val="5"/>
    <w:qFormat/>
    <w:uiPriority w:val="99"/>
    <w:rPr>
      <w:rFonts w:ascii="Times New Roman" w:hAnsi="Times New Roman" w:eastAsia="宋体" w:cs="Times New Roman"/>
      <w:b/>
      <w:bCs/>
      <w:sz w:val="24"/>
      <w:szCs w:val="24"/>
    </w:rPr>
  </w:style>
  <w:style w:type="character" w:customStyle="1" w:styleId="12">
    <w:name w:val="正文文本 Char"/>
    <w:basedOn w:val="9"/>
    <w:link w:val="2"/>
    <w:qFormat/>
    <w:uiPriority w:val="99"/>
    <w:rPr>
      <w:rFonts w:ascii="Times New Roman" w:hAnsi="Times New Roman" w:eastAsia="宋体" w:cs="Times New Roman"/>
      <w:szCs w:val="21"/>
    </w:rPr>
  </w:style>
  <w:style w:type="character" w:customStyle="1" w:styleId="13">
    <w:name w:val="纯文本 Char"/>
    <w:basedOn w:val="9"/>
    <w:link w:val="6"/>
    <w:qFormat/>
    <w:uiPriority w:val="99"/>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911</Words>
  <Characters>5195</Characters>
  <Lines>43</Lines>
  <Paragraphs>12</Paragraphs>
  <TotalTime>1</TotalTime>
  <ScaleCrop>false</ScaleCrop>
  <LinksUpToDate>false</LinksUpToDate>
  <CharactersWithSpaces>6094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2023-12-14T09:33:00Z</dcterms:created>
  <dc:creator>pc2</dc:creator>
  <cp:lastModifiedBy>李娜</cp:lastModifiedBy>
  <dcterms:modified xsi:type="dcterms:W3CDTF">2023-12-15T00:54:31Z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5BA7FE18CD544A1ABC9A8BE310A70C44_12</vt:lpwstr>
  </property>
</Properties>
</file>