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56" w:beforeLines="50" w:after="156" w:afterLines="50" w:line="240" w:lineRule="auto"/>
      </w:pPr>
      <w:bookmarkStart w:id="0" w:name="_Toc148769896"/>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近5年（2018年11月1日至投标截止时间，以通过成果验收或鉴定时间或登记时间为准）至少完成过1项市级（地级市）及以上科研院所单位的雷达研发类科研项目。</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5"/>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投标人在过去1年中（2022年11月1日至投标截止时间）不曾在高速公路科研项目合同中违约而被驱逐或因投标人自身的原因而使高速公路科研合同被解除。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5"/>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rPr>
                <w:rFonts w:ascii="宋体" w:hAnsi="宋体"/>
                <w:szCs w:val="21"/>
              </w:rPr>
            </w:pPr>
            <w:r>
              <w:rPr>
                <w:rFonts w:hint="eastAsia" w:ascii="宋体" w:hAnsi="宋体"/>
                <w:szCs w:val="21"/>
              </w:rPr>
              <w:t>高级职称；</w:t>
            </w:r>
          </w:p>
          <w:p>
            <w:pPr>
              <w:pStyle w:val="2"/>
            </w:pPr>
            <w:r>
              <w:rPr>
                <w:rFonts w:hint="eastAsia" w:ascii="宋体" w:hAnsi="宋体"/>
                <w:szCs w:val="21"/>
              </w:rPr>
              <w:t>近5年（2018年11月1日至投标截止时间，以通过成果验收或鉴定时间或登记时间为准）至少担任过1项市级（地级市）及以上科研院所单位的雷达研发类科研项目的项目负责人。</w:t>
            </w:r>
          </w:p>
        </w:tc>
      </w:tr>
    </w:tbl>
    <w:p>
      <w:pPr>
        <w:rPr>
          <w:rFonts w:ascii="宋体" w:hAnsi="宋体"/>
          <w:sz w:val="24"/>
          <w:szCs w:val="24"/>
        </w:rPr>
      </w:pPr>
    </w:p>
    <w:p>
      <w:pPr>
        <w:pStyle w:val="3"/>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1" w:name="_Toc148769897"/>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1"/>
    </w:p>
    <w:p>
      <w:pPr>
        <w:pStyle w:val="3"/>
        <w:snapToGrid w:val="0"/>
        <w:spacing w:before="120" w:after="120" w:line="240" w:lineRule="auto"/>
        <w:rPr>
          <w:sz w:val="24"/>
          <w:szCs w:val="24"/>
        </w:rPr>
      </w:pPr>
      <w:bookmarkStart w:id="2" w:name="_Toc148769898"/>
      <w:r>
        <w:rPr>
          <w:rFonts w:hint="eastAsia"/>
          <w:sz w:val="24"/>
          <w:szCs w:val="24"/>
        </w:rPr>
        <w:t>评标办法前附表</w:t>
      </w:r>
      <w:bookmarkEnd w:id="2"/>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817" w:type="dxa"/>
            <w:vAlign w:val="center"/>
          </w:tcPr>
          <w:p>
            <w:pPr>
              <w:jc w:val="center"/>
              <w:rPr>
                <w:rFonts w:ascii="宋体" w:hAnsi="宋体"/>
              </w:rPr>
            </w:pPr>
            <w:r>
              <w:rPr>
                <w:rFonts w:hint="eastAsia" w:ascii="宋体" w:hAnsi="宋体"/>
              </w:rPr>
              <w:t>1</w:t>
            </w:r>
          </w:p>
        </w:tc>
        <w:tc>
          <w:tcPr>
            <w:tcW w:w="1141" w:type="dxa"/>
            <w:vAlign w:val="center"/>
          </w:tcPr>
          <w:p>
            <w:pPr>
              <w:jc w:val="center"/>
              <w:rPr>
                <w:rFonts w:ascii="宋体" w:hAnsi="宋体"/>
              </w:rPr>
            </w:pPr>
            <w:r>
              <w:rPr>
                <w:rFonts w:hint="eastAsia" w:ascii="宋体" w:hAnsi="宋体"/>
              </w:rPr>
              <w:t>评标方法</w:t>
            </w:r>
          </w:p>
        </w:tc>
        <w:tc>
          <w:tcPr>
            <w:tcW w:w="7648" w:type="dxa"/>
            <w:vAlign w:val="center"/>
          </w:tcPr>
          <w:p>
            <w:pPr>
              <w:snapToGrid w:val="0"/>
              <w:spacing w:line="300" w:lineRule="exact"/>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napToGrid w:val="0"/>
              <w:spacing w:line="300" w:lineRule="exact"/>
              <w:ind w:firstLine="315" w:firstLineChars="150"/>
              <w:jc w:val="left"/>
              <w:rPr>
                <w:rFonts w:ascii="宋体" w:hAnsi="宋体"/>
              </w:rPr>
            </w:pPr>
            <w:r>
              <w:rPr>
                <w:rFonts w:hint="eastAsia" w:ascii="宋体" w:hAnsi="宋体"/>
              </w:rPr>
              <w:t>（1）评标价低的投标人优先；</w:t>
            </w:r>
          </w:p>
          <w:p>
            <w:pPr>
              <w:snapToGrid w:val="0"/>
              <w:spacing w:line="300" w:lineRule="exact"/>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41"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a．投标函按招标文件规定填报了招标人名称、项目名称、补遗书编号（如有）、项目负责人相关信息、服务期限、质量要求、服务地点等内容；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b.若投标保证金采用电汇或转账形式提交，投标人应在递交投标文件截止时间之前，将投标保证金由投标人的基本账户转入招标人指定账户；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）投标人法定代表人授权委托代理人签署投标文件的，须提交授权委托书，且符合招标文件规定。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）投标人法定代表人亲自签署投标文件的，提供了法定代表人身份证明，且符合招标文件规定。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投标人如有分包计划，符合招标文件第二章“投标人须知”第 1.11款规定，且按招标文件第七章“投标文件格式”的要求填写了“拟分包项目情况表”。</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）投标人未提交两个以上不同的投标文件或备选方案。</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Cs/>
                <w:szCs w:val="21"/>
              </w:rPr>
            </w:pPr>
            <w:r>
              <w:rPr>
                <w:rFonts w:hint="eastAsia" w:ascii="宋体" w:hAnsi="宋体"/>
                <w:bCs/>
                <w:szCs w:val="21"/>
              </w:rPr>
              <w:t>（6）投标人未提交调价函。</w:t>
            </w:r>
          </w:p>
          <w:p>
            <w:pPr>
              <w:tabs>
                <w:tab w:val="left" w:pos="3060"/>
              </w:tabs>
              <w:spacing w:line="320" w:lineRule="exact"/>
              <w:ind w:firstLine="205" w:firstLineChars="98"/>
              <w:rPr>
                <w:rFonts w:ascii="宋体" w:hAnsi="宋体"/>
                <w:b/>
                <w:szCs w:val="21"/>
              </w:rPr>
            </w:pPr>
            <w:r>
              <w:rPr>
                <w:rFonts w:hint="eastAsia" w:ascii="宋体" w:hAnsi="宋体"/>
                <w:bCs/>
                <w:szCs w:val="21"/>
              </w:rPr>
              <w:t>（7）已标价工作量清单中的投标报价和投标函大写金额报价一致。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17" w:type="dxa"/>
            <w:vAlign w:val="center"/>
          </w:tcPr>
          <w:p>
            <w:pPr>
              <w:jc w:val="center"/>
              <w:rPr>
                <w:rFonts w:ascii="宋体" w:hAnsi="宋体"/>
              </w:rPr>
            </w:pPr>
            <w:r>
              <w:rPr>
                <w:rFonts w:ascii="宋体" w:hAnsi="宋体"/>
              </w:rPr>
              <w:t>2.1.2</w:t>
            </w:r>
          </w:p>
        </w:tc>
        <w:tc>
          <w:tcPr>
            <w:tcW w:w="1141" w:type="dxa"/>
            <w:vAlign w:val="center"/>
          </w:tcPr>
          <w:p>
            <w:pPr>
              <w:jc w:val="center"/>
              <w:rPr>
                <w:rFonts w:ascii="宋体" w:hAnsi="宋体"/>
              </w:rPr>
            </w:pPr>
            <w:r>
              <w:rPr>
                <w:rFonts w:hint="eastAsia" w:ascii="宋体" w:hAnsi="宋体"/>
              </w:rPr>
              <w:t>资格评审标准</w:t>
            </w:r>
          </w:p>
        </w:tc>
        <w:tc>
          <w:tcPr>
            <w:tcW w:w="7648" w:type="dxa"/>
            <w:vAlign w:val="center"/>
          </w:tcPr>
          <w:p>
            <w:pPr>
              <w:tabs>
                <w:tab w:val="left" w:pos="3060"/>
              </w:tabs>
              <w:spacing w:line="36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基本账户开户许可证（或基本存款账户信息）；</w:t>
            </w:r>
          </w:p>
          <w:p>
            <w:pPr>
              <w:tabs>
                <w:tab w:val="left" w:pos="3060"/>
              </w:tabs>
              <w:spacing w:line="360" w:lineRule="exact"/>
              <w:ind w:firstLine="105" w:firstLineChars="50"/>
              <w:rPr>
                <w:rFonts w:ascii="宋体" w:hAnsi="宋体"/>
                <w:szCs w:val="21"/>
              </w:rPr>
            </w:pPr>
            <w:r>
              <w:rPr>
                <w:rFonts w:hint="eastAsia" w:ascii="宋体" w:hAnsi="宋体"/>
                <w:szCs w:val="21"/>
              </w:rPr>
              <w:t>（2）投标人的类似项目业绩符合招标文件规定；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）投标人的信誉符合招标文件规定；</w:t>
            </w:r>
          </w:p>
          <w:p>
            <w:pPr>
              <w:tabs>
                <w:tab w:val="left" w:pos="3060"/>
              </w:tabs>
              <w:spacing w:line="36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 xml:space="preserve">）投标人的项目负责人资格符合招标文件规定； </w:t>
            </w:r>
          </w:p>
          <w:p>
            <w:pPr>
              <w:tabs>
                <w:tab w:val="left" w:pos="3060"/>
              </w:tabs>
              <w:spacing w:line="360" w:lineRule="exact"/>
              <w:ind w:firstLine="105" w:firstLineChars="50"/>
            </w:pPr>
            <w:r>
              <w:rPr>
                <w:rFonts w:hint="eastAsia" w:ascii="宋体" w:hAnsi="宋体"/>
                <w:szCs w:val="21"/>
              </w:rPr>
              <w:t>（</w:t>
            </w:r>
            <w:r>
              <w:rPr>
                <w:rFonts w:ascii="宋体" w:hAnsi="宋体"/>
                <w:szCs w:val="21"/>
              </w:rPr>
              <w:t>5</w:t>
            </w:r>
            <w:r>
              <w:rPr>
                <w:rFonts w:hint="eastAsia" w:ascii="宋体" w:hAnsi="宋体"/>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7" w:type="dxa"/>
            <w:vAlign w:val="center"/>
          </w:tcPr>
          <w:p>
            <w:pPr>
              <w:jc w:val="center"/>
              <w:rPr>
                <w:rFonts w:ascii="宋体" w:hAnsi="宋体"/>
              </w:rPr>
            </w:pPr>
            <w:r>
              <w:rPr>
                <w:rFonts w:ascii="宋体" w:hAnsi="宋体"/>
              </w:rPr>
              <w:t>2.2.1</w:t>
            </w:r>
          </w:p>
        </w:tc>
        <w:tc>
          <w:tcPr>
            <w:tcW w:w="1141"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ascii="宋体" w:hAnsi="宋体"/>
                <w:b/>
                <w:u w:val="single"/>
              </w:rPr>
              <w:t>25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spacing w:line="276" w:lineRule="auto"/>
              <w:jc w:val="left"/>
              <w:rPr>
                <w:rFonts w:ascii="宋体" w:hAnsi="宋体"/>
                <w:szCs w:val="21"/>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7" w:type="dxa"/>
            <w:vAlign w:val="center"/>
          </w:tcPr>
          <w:p>
            <w:pPr>
              <w:jc w:val="center"/>
              <w:rPr>
                <w:rFonts w:ascii="宋体" w:hAnsi="宋体"/>
              </w:rPr>
            </w:pPr>
            <w:r>
              <w:rPr>
                <w:rFonts w:ascii="宋体" w:hAnsi="宋体"/>
              </w:rPr>
              <w:t>2.2.2</w:t>
            </w:r>
          </w:p>
        </w:tc>
        <w:tc>
          <w:tcPr>
            <w:tcW w:w="1141"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tabs>
                <w:tab w:val="left" w:pos="3060"/>
              </w:tabs>
              <w:spacing w:line="360" w:lineRule="exact"/>
              <w:ind w:firstLine="105" w:firstLineChars="50"/>
              <w:rPr>
                <w:rFonts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7" w:type="dxa"/>
            <w:vAlign w:val="center"/>
          </w:tcPr>
          <w:p>
            <w:pPr>
              <w:jc w:val="center"/>
              <w:rPr>
                <w:rFonts w:ascii="宋体" w:hAnsi="宋体"/>
              </w:rPr>
            </w:pPr>
            <w:r>
              <w:rPr>
                <w:rFonts w:ascii="宋体" w:hAnsi="宋体"/>
              </w:rPr>
              <w:t>2.2.3</w:t>
            </w:r>
          </w:p>
        </w:tc>
        <w:tc>
          <w:tcPr>
            <w:tcW w:w="1141"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tabs>
                <w:tab w:val="left" w:pos="3060"/>
              </w:tabs>
              <w:spacing w:line="360" w:lineRule="exact"/>
              <w:ind w:firstLine="105" w:firstLineChars="50"/>
              <w:rPr>
                <w:rFonts w:ascii="宋体" w:hAnsi="宋体"/>
                <w:szCs w:val="21"/>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41"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信用情况网页截图内容与在“国家企业信用信息公示系统”中严重违法失信企业名单（不包括分公司，事业单位投标人不适用）或在“信用中国”网站中失信被执行人名单、经营异常名录、重大税收违法失信主体名单、政府采购严重违法失信名单（均不包括分公司）的复核结果一致。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（2）评标委员会在评标时按照投标人提供的验证方式对电子保函或电子保证保险进行验证。如投标人未提供电子保函或电子保证保险的验证方式，或根据提供的验证方式无法核实的，评标委员会应否决其投标。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06" w:type="dxa"/>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
      <w:pPr>
        <w:jc w:val="right"/>
        <w:rPr>
          <w:b/>
          <w:bCs/>
          <w:sz w:val="32"/>
          <w:szCs w:val="32"/>
        </w:rPr>
      </w:pPr>
      <w:r>
        <w:br w:type="page"/>
      </w:r>
    </w:p>
    <w:p>
      <w:pPr>
        <w:jc w:val="right"/>
      </w:pPr>
      <w:r>
        <w:rPr>
          <w:rFonts w:hint="eastAsia"/>
        </w:rPr>
        <w:t>续上表</w:t>
      </w:r>
    </w:p>
    <w:tbl>
      <w:tblPr>
        <w:tblStyle w:val="5"/>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618"/>
        <w:gridCol w:w="992"/>
        <w:gridCol w:w="1418"/>
        <w:gridCol w:w="4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961"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1134" w:type="dxa"/>
            <w:gridSpan w:val="2"/>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评分因素及权重分值</w:t>
            </w:r>
          </w:p>
        </w:tc>
        <w:tc>
          <w:tcPr>
            <w:tcW w:w="2410" w:type="dxa"/>
            <w:gridSpan w:val="2"/>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细分项及分值</w:t>
            </w:r>
          </w:p>
        </w:tc>
        <w:tc>
          <w:tcPr>
            <w:tcW w:w="4961"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分）</w:t>
            </w:r>
          </w:p>
        </w:tc>
        <w:tc>
          <w:tcPr>
            <w:tcW w:w="992" w:type="dxa"/>
            <w:vMerge w:val="restart"/>
            <w:tcBorders>
              <w:right w:val="single" w:color="auto" w:sz="4" w:space="0"/>
            </w:tcBorders>
            <w:vAlign w:val="center"/>
          </w:tcPr>
          <w:p>
            <w:pPr>
              <w:autoSpaceDE w:val="0"/>
              <w:autoSpaceDN w:val="0"/>
              <w:snapToGrid w:val="0"/>
              <w:spacing w:line="360" w:lineRule="exact"/>
              <w:ind w:left="9" w:right="11"/>
              <w:jc w:val="center"/>
              <w:rPr>
                <w:rFonts w:ascii="宋体" w:hAnsi="宋体" w:cs="宋体"/>
                <w:kern w:val="0"/>
                <w:szCs w:val="21"/>
              </w:rPr>
            </w:pPr>
            <w:r>
              <w:rPr>
                <w:rFonts w:hint="eastAsia" w:ascii="宋体" w:hAnsi="宋体" w:cs="宋体"/>
                <w:kern w:val="0"/>
                <w:szCs w:val="21"/>
              </w:rPr>
              <w:t>对研究项目的理解</w:t>
            </w:r>
          </w:p>
          <w:p>
            <w:pPr>
              <w:autoSpaceDE w:val="0"/>
              <w:autoSpaceDN w:val="0"/>
              <w:snapToGrid w:val="0"/>
              <w:spacing w:line="360" w:lineRule="exact"/>
              <w:ind w:left="9" w:right="11"/>
              <w:jc w:val="center"/>
              <w:rPr>
                <w:rFonts w:ascii="宋体" w:hAnsi="宋体" w:cs="宋体"/>
                <w:kern w:val="0"/>
                <w:szCs w:val="21"/>
              </w:rPr>
            </w:pPr>
            <w:r>
              <w:rPr>
                <w:rFonts w:hint="eastAsia" w:ascii="宋体" w:hAnsi="宋体" w:cs="宋体"/>
                <w:kern w:val="0"/>
                <w:szCs w:val="21"/>
              </w:rPr>
              <w:t>（10分）</w:t>
            </w:r>
          </w:p>
        </w:tc>
        <w:tc>
          <w:tcPr>
            <w:tcW w:w="1418" w:type="dxa"/>
            <w:tcBorders>
              <w:left w:val="single" w:color="auto" w:sz="4" w:space="0"/>
              <w:bottom w:val="single" w:color="auto" w:sz="4" w:space="0"/>
              <w:right w:val="single" w:color="auto" w:sz="4" w:space="0"/>
            </w:tcBorders>
            <w:vAlign w:val="center"/>
          </w:tcPr>
          <w:p>
            <w:pPr>
              <w:autoSpaceDE w:val="0"/>
              <w:autoSpaceDN w:val="0"/>
              <w:snapToGrid w:val="0"/>
              <w:spacing w:line="360" w:lineRule="exact"/>
              <w:ind w:left="9" w:right="11"/>
              <w:jc w:val="left"/>
              <w:rPr>
                <w:rFonts w:ascii="宋体" w:hAnsi="宋体" w:cs="宋体"/>
                <w:kern w:val="0"/>
                <w:szCs w:val="21"/>
              </w:rPr>
            </w:pPr>
            <w:r>
              <w:rPr>
                <w:rFonts w:hint="eastAsia" w:ascii="宋体" w:hAnsi="宋体" w:cs="宋体"/>
              </w:rPr>
              <w:t>项目研究的目的与意义描述（5分）</w:t>
            </w:r>
          </w:p>
        </w:tc>
        <w:tc>
          <w:tcPr>
            <w:tcW w:w="4961" w:type="dxa"/>
            <w:tcBorders>
              <w:top w:val="single" w:color="auto" w:sz="4" w:space="0"/>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目的明确、描述清晰，得4.0（不含）-5.0分；</w:t>
            </w:r>
          </w:p>
          <w:p>
            <w:pPr>
              <w:snapToGrid w:val="0"/>
              <w:spacing w:line="360" w:lineRule="exact"/>
              <w:jc w:val="left"/>
              <w:rPr>
                <w:rFonts w:ascii="宋体" w:hAnsi="宋体" w:cs="宋体"/>
                <w:szCs w:val="21"/>
              </w:rPr>
            </w:pPr>
            <w:r>
              <w:rPr>
                <w:rFonts w:hint="eastAsia" w:ascii="宋体" w:hAnsi="宋体" w:cs="宋体"/>
                <w:szCs w:val="21"/>
              </w:rPr>
              <w:t>目的较明确、描述较清晰，得3.0（不含）-4.0（含）分；</w:t>
            </w:r>
          </w:p>
          <w:p>
            <w:pPr>
              <w:pStyle w:val="4"/>
              <w:snapToGrid w:val="0"/>
              <w:spacing w:line="360" w:lineRule="exact"/>
              <w:jc w:val="left"/>
              <w:rPr>
                <w:rFonts w:hAnsi="宋体"/>
                <w:kern w:val="2"/>
                <w:sz w:val="21"/>
                <w:szCs w:val="21"/>
              </w:rPr>
            </w:pPr>
            <w:r>
              <w:rPr>
                <w:rFonts w:hint="eastAsia" w:hAnsi="宋体" w:cs="宋体"/>
              </w:rPr>
              <w:t>目的基本明确、描述一般，得3.0分。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autoSpaceDE w:val="0"/>
              <w:autoSpaceDN w:val="0"/>
              <w:snapToGrid w:val="0"/>
              <w:spacing w:line="360" w:lineRule="exact"/>
              <w:ind w:left="9" w:right="11"/>
              <w:jc w:val="center"/>
              <w:rPr>
                <w:rFonts w:ascii="宋体" w:hAnsi="宋体" w:cs="宋体"/>
                <w:kern w:val="0"/>
                <w:szCs w:val="21"/>
              </w:rPr>
            </w:pPr>
          </w:p>
        </w:tc>
        <w:tc>
          <w:tcPr>
            <w:tcW w:w="1418" w:type="dxa"/>
            <w:tcBorders>
              <w:top w:val="single" w:color="auto" w:sz="4" w:space="0"/>
              <w:left w:val="single" w:color="auto" w:sz="4" w:space="0"/>
              <w:right w:val="single" w:color="auto" w:sz="4" w:space="0"/>
            </w:tcBorders>
            <w:vAlign w:val="center"/>
          </w:tcPr>
          <w:p>
            <w:pPr>
              <w:autoSpaceDE w:val="0"/>
              <w:autoSpaceDN w:val="0"/>
              <w:snapToGrid w:val="0"/>
              <w:spacing w:line="360" w:lineRule="exact"/>
              <w:ind w:left="9" w:right="11"/>
              <w:jc w:val="left"/>
              <w:rPr>
                <w:rFonts w:ascii="宋体" w:hAnsi="宋体" w:cs="宋体"/>
                <w:kern w:val="0"/>
                <w:szCs w:val="21"/>
              </w:rPr>
            </w:pPr>
            <w:r>
              <w:rPr>
                <w:rFonts w:hint="eastAsia" w:ascii="宋体" w:hAnsi="宋体" w:cs="宋体"/>
              </w:rPr>
              <w:t>国内研究现状分析及对本研究课题的认识（5分）</w:t>
            </w:r>
          </w:p>
        </w:tc>
        <w:tc>
          <w:tcPr>
            <w:tcW w:w="4961" w:type="dxa"/>
            <w:tcBorders>
              <w:top w:val="single" w:color="auto" w:sz="4" w:space="0"/>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rPr>
              <w:t>了解深入、清楚，得</w:t>
            </w:r>
            <w:r>
              <w:rPr>
                <w:rFonts w:hint="eastAsia" w:ascii="宋体" w:hAnsi="宋体" w:cs="宋体"/>
                <w:szCs w:val="21"/>
              </w:rPr>
              <w:t>4.0（不含）-5分；</w:t>
            </w:r>
          </w:p>
          <w:p>
            <w:pPr>
              <w:snapToGrid w:val="0"/>
              <w:spacing w:line="360" w:lineRule="exact"/>
              <w:jc w:val="left"/>
              <w:rPr>
                <w:rFonts w:ascii="宋体" w:hAnsi="宋体" w:cs="宋体"/>
                <w:szCs w:val="21"/>
              </w:rPr>
            </w:pPr>
            <w:r>
              <w:rPr>
                <w:rFonts w:hint="eastAsia" w:ascii="宋体" w:hAnsi="宋体" w:cs="宋体"/>
                <w:szCs w:val="21"/>
              </w:rPr>
              <w:t>了解较深入、较清楚，得3.0（不含）-4.0（含）分；</w:t>
            </w:r>
          </w:p>
          <w:p>
            <w:pPr>
              <w:pStyle w:val="4"/>
              <w:snapToGrid w:val="0"/>
              <w:spacing w:line="360" w:lineRule="exact"/>
              <w:jc w:val="left"/>
              <w:rPr>
                <w:rFonts w:hAnsi="宋体"/>
                <w:kern w:val="2"/>
                <w:sz w:val="21"/>
                <w:szCs w:val="21"/>
              </w:rPr>
            </w:pPr>
            <w:r>
              <w:rPr>
                <w:rFonts w:hint="eastAsia" w:hAnsi="宋体" w:cs="宋体"/>
                <w:szCs w:val="21"/>
              </w:rPr>
              <w:t>了解一般，得3.0分。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restart"/>
            <w:tcBorders>
              <w:right w:val="single" w:color="auto" w:sz="4" w:space="0"/>
            </w:tcBorders>
            <w:vAlign w:val="center"/>
          </w:tcPr>
          <w:p>
            <w:pPr>
              <w:snapToGrid w:val="0"/>
              <w:spacing w:line="360" w:lineRule="exact"/>
              <w:ind w:left="20"/>
              <w:jc w:val="center"/>
              <w:rPr>
                <w:rFonts w:ascii="宋体" w:hAnsi="宋体" w:cs="宋体"/>
              </w:rPr>
            </w:pPr>
            <w:r>
              <w:rPr>
                <w:rFonts w:hint="eastAsia" w:ascii="宋体" w:hAnsi="宋体" w:cs="宋体"/>
              </w:rPr>
              <w:t>项目研究实施方案</w:t>
            </w:r>
          </w:p>
          <w:p>
            <w:pPr>
              <w:pStyle w:val="4"/>
              <w:snapToGrid w:val="0"/>
              <w:spacing w:line="360" w:lineRule="exact"/>
              <w:ind w:left="27" w:leftChars="-48" w:right="-31" w:rightChars="-15" w:hanging="128" w:hangingChars="64"/>
              <w:jc w:val="center"/>
              <w:rPr>
                <w:rFonts w:hAnsi="宋体"/>
                <w:kern w:val="2"/>
                <w:sz w:val="21"/>
                <w:szCs w:val="21"/>
              </w:rPr>
            </w:pPr>
            <w:r>
              <w:rPr>
                <w:rFonts w:hint="eastAsia" w:hAnsi="宋体" w:cs="宋体"/>
              </w:rPr>
              <w:t>(20分)</w:t>
            </w:r>
          </w:p>
        </w:tc>
        <w:tc>
          <w:tcPr>
            <w:tcW w:w="1418" w:type="dxa"/>
            <w:tcBorders>
              <w:left w:val="single" w:color="auto" w:sz="4" w:space="0"/>
              <w:right w:val="single" w:color="auto" w:sz="4" w:space="0"/>
            </w:tcBorders>
            <w:vAlign w:val="center"/>
          </w:tcPr>
          <w:p>
            <w:pPr>
              <w:autoSpaceDE w:val="0"/>
              <w:autoSpaceDN w:val="0"/>
              <w:snapToGrid w:val="0"/>
              <w:spacing w:line="360" w:lineRule="exact"/>
              <w:ind w:left="9" w:right="11"/>
              <w:jc w:val="left"/>
              <w:rPr>
                <w:rFonts w:ascii="宋体" w:hAnsi="宋体" w:cs="宋体"/>
              </w:rPr>
            </w:pPr>
            <w:r>
              <w:rPr>
                <w:rFonts w:hint="eastAsia" w:ascii="宋体" w:hAnsi="宋体" w:cs="宋体"/>
              </w:rPr>
              <w:t>研究的主要内容描述（6分）</w:t>
            </w:r>
          </w:p>
        </w:tc>
        <w:tc>
          <w:tcPr>
            <w:tcW w:w="4961" w:type="dxa"/>
            <w:tcBorders>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内容具体，方案切实可行，得4.8（不含）-6.0分；</w:t>
            </w:r>
          </w:p>
          <w:p>
            <w:pPr>
              <w:snapToGrid w:val="0"/>
              <w:spacing w:line="360" w:lineRule="exact"/>
              <w:jc w:val="left"/>
              <w:rPr>
                <w:rFonts w:ascii="宋体" w:hAnsi="宋体" w:cs="宋体"/>
                <w:szCs w:val="21"/>
              </w:rPr>
            </w:pPr>
            <w:r>
              <w:rPr>
                <w:rFonts w:hint="eastAsia" w:ascii="宋体" w:hAnsi="宋体" w:cs="宋体"/>
                <w:szCs w:val="21"/>
              </w:rPr>
              <w:t>内容清楚，方案基本可行，得3.6（不含）-4.8（含）分；</w:t>
            </w:r>
          </w:p>
          <w:p>
            <w:pPr>
              <w:pStyle w:val="4"/>
              <w:snapToGrid w:val="0"/>
              <w:spacing w:line="360" w:lineRule="exact"/>
              <w:jc w:val="left"/>
              <w:rPr>
                <w:rFonts w:hAnsi="宋体" w:cs="宋体"/>
                <w:kern w:val="2"/>
                <w:sz w:val="21"/>
                <w:szCs w:val="21"/>
              </w:rPr>
            </w:pPr>
            <w:r>
              <w:rPr>
                <w:rFonts w:hint="eastAsia" w:hAnsi="宋体" w:cs="宋体"/>
                <w:kern w:val="2"/>
                <w:sz w:val="21"/>
                <w:szCs w:val="21"/>
              </w:rPr>
              <w:t>内容不够具体，方案一般，得3.6分；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4"/>
              <w:snapToGrid w:val="0"/>
              <w:spacing w:line="360" w:lineRule="exact"/>
              <w:ind w:left="33" w:leftChars="-48" w:right="-31" w:rightChars="-15" w:hanging="134" w:hangingChars="64"/>
              <w:jc w:val="center"/>
              <w:rPr>
                <w:rFonts w:hAnsi="宋体"/>
                <w:kern w:val="2"/>
                <w:sz w:val="21"/>
                <w:szCs w:val="21"/>
              </w:rPr>
            </w:pPr>
          </w:p>
        </w:tc>
        <w:tc>
          <w:tcPr>
            <w:tcW w:w="1418" w:type="dxa"/>
            <w:tcBorders>
              <w:left w:val="single" w:color="auto" w:sz="4" w:space="0"/>
              <w:right w:val="single" w:color="auto" w:sz="4" w:space="0"/>
            </w:tcBorders>
            <w:vAlign w:val="center"/>
          </w:tcPr>
          <w:p>
            <w:pPr>
              <w:autoSpaceDE w:val="0"/>
              <w:autoSpaceDN w:val="0"/>
              <w:snapToGrid w:val="0"/>
              <w:spacing w:line="360" w:lineRule="exact"/>
              <w:ind w:left="9" w:right="11"/>
              <w:jc w:val="left"/>
              <w:rPr>
                <w:rFonts w:ascii="宋体" w:hAnsi="宋体" w:cs="宋体"/>
              </w:rPr>
            </w:pPr>
            <w:r>
              <w:rPr>
                <w:rFonts w:hint="eastAsia" w:ascii="宋体" w:hAnsi="宋体" w:cs="宋体"/>
              </w:rPr>
              <w:t>研究采用的技术路线（8分）</w:t>
            </w:r>
          </w:p>
        </w:tc>
        <w:tc>
          <w:tcPr>
            <w:tcW w:w="4961" w:type="dxa"/>
            <w:tcBorders>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把握准确、描述具体清楚，得6.4（不含）-8.0分；</w:t>
            </w:r>
          </w:p>
          <w:p>
            <w:pPr>
              <w:snapToGrid w:val="0"/>
              <w:spacing w:line="360" w:lineRule="exact"/>
              <w:jc w:val="left"/>
              <w:rPr>
                <w:rFonts w:ascii="宋体" w:hAnsi="宋体" w:cs="宋体"/>
                <w:szCs w:val="21"/>
              </w:rPr>
            </w:pPr>
            <w:r>
              <w:rPr>
                <w:rFonts w:hint="eastAsia" w:ascii="宋体" w:hAnsi="宋体" w:cs="宋体"/>
                <w:szCs w:val="21"/>
              </w:rPr>
              <w:t>把握较准确、描述清楚，得4.8（不含）-6.4（含）分；</w:t>
            </w:r>
          </w:p>
          <w:p>
            <w:pPr>
              <w:pStyle w:val="4"/>
              <w:snapToGrid w:val="0"/>
              <w:spacing w:line="360" w:lineRule="exact"/>
              <w:jc w:val="left"/>
              <w:rPr>
                <w:rFonts w:hAnsi="宋体" w:cs="宋体"/>
                <w:kern w:val="2"/>
                <w:sz w:val="21"/>
                <w:szCs w:val="21"/>
              </w:rPr>
            </w:pPr>
            <w:r>
              <w:rPr>
                <w:rFonts w:hint="eastAsia" w:hAnsi="宋体" w:cs="宋体"/>
                <w:kern w:val="2"/>
                <w:sz w:val="21"/>
                <w:szCs w:val="21"/>
              </w:rPr>
              <w:t>把握基本准确、描述基本清楚，得4.8分；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992" w:type="dxa"/>
            <w:vMerge w:val="continue"/>
            <w:tcBorders>
              <w:right w:val="single" w:color="auto" w:sz="4" w:space="0"/>
            </w:tcBorders>
            <w:vAlign w:val="center"/>
          </w:tcPr>
          <w:p>
            <w:pPr>
              <w:pStyle w:val="4"/>
              <w:snapToGrid w:val="0"/>
              <w:spacing w:line="360" w:lineRule="exact"/>
              <w:ind w:left="27" w:leftChars="-48" w:right="-31" w:rightChars="-15" w:hanging="128" w:hangingChars="64"/>
              <w:jc w:val="center"/>
              <w:rPr>
                <w:rFonts w:hAnsi="宋体" w:cs="宋体"/>
                <w:szCs w:val="21"/>
              </w:rPr>
            </w:pPr>
          </w:p>
        </w:tc>
        <w:tc>
          <w:tcPr>
            <w:tcW w:w="1418" w:type="dxa"/>
            <w:tcBorders>
              <w:left w:val="single" w:color="auto" w:sz="4" w:space="0"/>
              <w:right w:val="single" w:color="auto" w:sz="4" w:space="0"/>
            </w:tcBorders>
            <w:vAlign w:val="center"/>
          </w:tcPr>
          <w:p>
            <w:pPr>
              <w:autoSpaceDE w:val="0"/>
              <w:autoSpaceDN w:val="0"/>
              <w:snapToGrid w:val="0"/>
              <w:spacing w:line="360" w:lineRule="exact"/>
              <w:ind w:left="9" w:right="11"/>
              <w:jc w:val="left"/>
              <w:rPr>
                <w:rFonts w:ascii="宋体" w:hAnsi="宋体" w:cs="宋体"/>
              </w:rPr>
            </w:pPr>
            <w:r>
              <w:rPr>
                <w:rFonts w:hint="eastAsia" w:ascii="宋体" w:hAnsi="宋体" w:cs="宋体"/>
              </w:rPr>
              <w:t>对原有创新点的理解和建议</w:t>
            </w:r>
          </w:p>
          <w:p>
            <w:pPr>
              <w:pStyle w:val="4"/>
              <w:autoSpaceDE w:val="0"/>
              <w:autoSpaceDN w:val="0"/>
              <w:snapToGrid w:val="0"/>
              <w:spacing w:line="360" w:lineRule="exact"/>
              <w:ind w:left="33" w:leftChars="-48" w:right="-31" w:rightChars="-15" w:hanging="134" w:hangingChars="64"/>
              <w:jc w:val="left"/>
              <w:rPr>
                <w:rFonts w:hAnsi="宋体" w:cs="宋体"/>
                <w:kern w:val="2"/>
                <w:sz w:val="21"/>
                <w:szCs w:val="22"/>
              </w:rPr>
            </w:pPr>
            <w:r>
              <w:rPr>
                <w:rFonts w:hint="eastAsia" w:hAnsi="宋体" w:cs="宋体"/>
                <w:kern w:val="2"/>
                <w:sz w:val="21"/>
                <w:szCs w:val="22"/>
              </w:rPr>
              <w:t>（6分）</w:t>
            </w:r>
          </w:p>
        </w:tc>
        <w:tc>
          <w:tcPr>
            <w:tcW w:w="4961" w:type="dxa"/>
            <w:tcBorders>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明确、合理可行，得4.8（不含）-6.0分；</w:t>
            </w:r>
          </w:p>
          <w:p>
            <w:pPr>
              <w:snapToGrid w:val="0"/>
              <w:spacing w:line="360" w:lineRule="exact"/>
              <w:jc w:val="left"/>
              <w:rPr>
                <w:rFonts w:ascii="宋体" w:hAnsi="宋体" w:cs="宋体"/>
                <w:szCs w:val="21"/>
              </w:rPr>
            </w:pPr>
            <w:r>
              <w:rPr>
                <w:rFonts w:hint="eastAsia" w:ascii="宋体" w:hAnsi="宋体" w:cs="宋体"/>
                <w:szCs w:val="21"/>
              </w:rPr>
              <w:t>比较明确、较合理可行，得3.6（不含）-4.8（含）分；</w:t>
            </w:r>
          </w:p>
          <w:p>
            <w:pPr>
              <w:pStyle w:val="4"/>
              <w:snapToGrid w:val="0"/>
              <w:spacing w:line="360" w:lineRule="exact"/>
              <w:jc w:val="left"/>
              <w:rPr>
                <w:rFonts w:hAnsi="宋体" w:cs="宋体"/>
                <w:kern w:val="2"/>
                <w:sz w:val="21"/>
                <w:szCs w:val="21"/>
              </w:rPr>
            </w:pPr>
            <w:r>
              <w:rPr>
                <w:rFonts w:hint="eastAsia" w:hAnsi="宋体" w:cs="宋体"/>
                <w:kern w:val="2"/>
                <w:sz w:val="21"/>
                <w:szCs w:val="21"/>
              </w:rPr>
              <w:t>基本明确、一般，得3.6分；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napToGrid w:val="0"/>
              <w:spacing w:line="360" w:lineRule="exact"/>
              <w:ind w:left="20"/>
              <w:jc w:val="left"/>
              <w:rPr>
                <w:rFonts w:ascii="宋体" w:hAnsi="宋体" w:cs="宋体"/>
              </w:rPr>
            </w:pPr>
            <w:r>
              <w:rPr>
                <w:rFonts w:hint="eastAsia" w:ascii="宋体" w:hAnsi="宋体" w:cs="宋体"/>
              </w:rPr>
              <w:t>工作计划与进度安排</w:t>
            </w:r>
          </w:p>
          <w:p>
            <w:pPr>
              <w:pStyle w:val="4"/>
              <w:snapToGrid w:val="0"/>
              <w:spacing w:line="360" w:lineRule="exact"/>
              <w:jc w:val="left"/>
              <w:rPr>
                <w:rFonts w:hAnsi="宋体"/>
                <w:kern w:val="2"/>
                <w:sz w:val="21"/>
                <w:szCs w:val="21"/>
              </w:rPr>
            </w:pPr>
            <w:r>
              <w:rPr>
                <w:rFonts w:hint="eastAsia" w:hAnsi="宋体" w:cs="宋体"/>
              </w:rPr>
              <w:t>（</w:t>
            </w:r>
            <w:r>
              <w:rPr>
                <w:rFonts w:hAnsi="宋体" w:cs="宋体"/>
              </w:rPr>
              <w:t>5</w:t>
            </w:r>
            <w:r>
              <w:rPr>
                <w:rFonts w:hint="eastAsia" w:hAnsi="宋体" w:cs="宋体"/>
              </w:rPr>
              <w:t>分）</w:t>
            </w:r>
          </w:p>
        </w:tc>
        <w:tc>
          <w:tcPr>
            <w:tcW w:w="4961" w:type="dxa"/>
            <w:tcBorders>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计划进度安排科学合理，得4.0（不含）-5.0分；</w:t>
            </w:r>
          </w:p>
          <w:p>
            <w:pPr>
              <w:snapToGrid w:val="0"/>
              <w:spacing w:line="360" w:lineRule="exact"/>
              <w:jc w:val="left"/>
              <w:rPr>
                <w:rFonts w:ascii="宋体" w:hAnsi="宋体" w:cs="宋体"/>
                <w:szCs w:val="21"/>
              </w:rPr>
            </w:pPr>
            <w:r>
              <w:rPr>
                <w:rFonts w:hint="eastAsia" w:ascii="宋体" w:hAnsi="宋体" w:cs="宋体"/>
                <w:szCs w:val="21"/>
              </w:rPr>
              <w:t>计划进度安排合理，得3.0（不含）-4.0（含）分；</w:t>
            </w:r>
          </w:p>
          <w:p>
            <w:pPr>
              <w:pStyle w:val="4"/>
              <w:snapToGrid w:val="0"/>
              <w:spacing w:line="360" w:lineRule="exact"/>
              <w:jc w:val="left"/>
              <w:rPr>
                <w:rFonts w:hAnsi="宋体" w:cs="宋体"/>
                <w:kern w:val="2"/>
                <w:sz w:val="21"/>
                <w:szCs w:val="21"/>
              </w:rPr>
            </w:pPr>
            <w:r>
              <w:rPr>
                <w:rFonts w:hint="eastAsia" w:hAnsi="宋体" w:cs="宋体"/>
                <w:kern w:val="2"/>
                <w:sz w:val="21"/>
                <w:szCs w:val="21"/>
              </w:rPr>
              <w:t>计划进度安排基本合理，得3.0分。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napToGrid w:val="0"/>
              <w:spacing w:line="360" w:lineRule="exact"/>
              <w:ind w:left="20"/>
              <w:jc w:val="left"/>
              <w:rPr>
                <w:rFonts w:hAnsi="宋体"/>
                <w:szCs w:val="21"/>
              </w:rPr>
            </w:pPr>
            <w:r>
              <w:rPr>
                <w:rFonts w:hint="eastAsia" w:ascii="宋体" w:hAnsi="宋体" w:cs="宋体"/>
              </w:rPr>
              <w:t>项目研究质量与进度保障措施（</w:t>
            </w:r>
            <w:r>
              <w:rPr>
                <w:rFonts w:ascii="宋体" w:hAnsi="宋体" w:cs="宋体"/>
              </w:rPr>
              <w:t>6</w:t>
            </w:r>
            <w:r>
              <w:rPr>
                <w:rFonts w:hint="eastAsia" w:ascii="宋体" w:hAnsi="宋体" w:cs="宋体"/>
              </w:rPr>
              <w:t>分）</w:t>
            </w:r>
          </w:p>
        </w:tc>
        <w:tc>
          <w:tcPr>
            <w:tcW w:w="4961" w:type="dxa"/>
            <w:tcBorders>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研究质量与进度保障措施科学合理，可操作性强，得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(不含)-</w:t>
            </w:r>
            <w:r>
              <w:rPr>
                <w:rFonts w:ascii="宋体" w:hAnsi="宋体" w:cs="宋体"/>
                <w:szCs w:val="21"/>
              </w:rPr>
              <w:t>6</w:t>
            </w:r>
            <w:r>
              <w:rPr>
                <w:rFonts w:hint="eastAsia" w:ascii="宋体" w:hAnsi="宋体" w:cs="宋体"/>
                <w:szCs w:val="21"/>
              </w:rPr>
              <w:t>.0分；</w:t>
            </w:r>
          </w:p>
          <w:p>
            <w:pPr>
              <w:snapToGrid w:val="0"/>
              <w:spacing w:line="360" w:lineRule="exact"/>
              <w:jc w:val="left"/>
              <w:rPr>
                <w:rFonts w:ascii="宋体" w:hAnsi="宋体" w:cs="宋体"/>
                <w:szCs w:val="21"/>
              </w:rPr>
            </w:pPr>
            <w:r>
              <w:rPr>
                <w:rFonts w:hint="eastAsia" w:ascii="宋体" w:hAnsi="宋体" w:cs="宋体"/>
                <w:szCs w:val="21"/>
              </w:rPr>
              <w:t>研究质量与进度保障措施较合理，可操作性较强，得</w:t>
            </w:r>
            <w:r>
              <w:rPr>
                <w:rFonts w:ascii="宋体" w:hAnsi="宋体" w:cs="宋体"/>
                <w:szCs w:val="21"/>
              </w:rPr>
              <w:t>3</w:t>
            </w:r>
            <w:r>
              <w:rPr>
                <w:rFonts w:hint="eastAsia" w:ascii="宋体" w:hAnsi="宋体" w:cs="宋体"/>
                <w:szCs w:val="21"/>
              </w:rPr>
              <w:t>.</w:t>
            </w:r>
            <w:r>
              <w:rPr>
                <w:rFonts w:ascii="宋体" w:hAnsi="宋体" w:cs="宋体"/>
                <w:szCs w:val="21"/>
              </w:rPr>
              <w:t>6</w:t>
            </w:r>
            <w:r>
              <w:rPr>
                <w:rFonts w:hint="eastAsia" w:ascii="宋体" w:hAnsi="宋体" w:cs="宋体"/>
                <w:szCs w:val="21"/>
              </w:rPr>
              <w:t>（不含）-</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（含）分；</w:t>
            </w:r>
          </w:p>
          <w:p>
            <w:pPr>
              <w:pStyle w:val="4"/>
              <w:snapToGrid w:val="0"/>
              <w:spacing w:line="360" w:lineRule="exact"/>
              <w:jc w:val="left"/>
              <w:rPr>
                <w:rFonts w:hAnsi="宋体" w:cs="宋体"/>
                <w:kern w:val="2"/>
                <w:sz w:val="21"/>
                <w:szCs w:val="21"/>
              </w:rPr>
            </w:pPr>
            <w:r>
              <w:rPr>
                <w:rFonts w:hint="eastAsia" w:hAnsi="宋体" w:cs="宋体"/>
                <w:kern w:val="2"/>
                <w:sz w:val="21"/>
                <w:szCs w:val="21"/>
              </w:rPr>
              <w:t>研究质量与进度保障措施一般，可操作性一般，得</w:t>
            </w:r>
            <w:r>
              <w:rPr>
                <w:rFonts w:hAnsi="宋体" w:cs="宋体"/>
                <w:kern w:val="2"/>
                <w:sz w:val="21"/>
                <w:szCs w:val="21"/>
              </w:rPr>
              <w:t>3.6</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1134" w:type="dxa"/>
            <w:gridSpan w:val="2"/>
            <w:vMerge w:val="continue"/>
            <w:vAlign w:val="center"/>
          </w:tcPr>
          <w:p>
            <w:pPr>
              <w:autoSpaceDE w:val="0"/>
              <w:autoSpaceDN w:val="0"/>
              <w:snapToGrid w:val="0"/>
              <w:ind w:right="11"/>
              <w:jc w:val="center"/>
              <w:rPr>
                <w:rFonts w:ascii="宋体" w:hAnsi="宋体" w:cs="宋体"/>
                <w:kern w:val="0"/>
                <w:szCs w:val="21"/>
              </w:rPr>
            </w:pPr>
          </w:p>
        </w:tc>
        <w:tc>
          <w:tcPr>
            <w:tcW w:w="2410" w:type="dxa"/>
            <w:gridSpan w:val="2"/>
            <w:tcBorders>
              <w:right w:val="single" w:color="auto" w:sz="4" w:space="0"/>
            </w:tcBorders>
            <w:vAlign w:val="center"/>
          </w:tcPr>
          <w:p>
            <w:pPr>
              <w:snapToGrid w:val="0"/>
              <w:spacing w:line="360" w:lineRule="exact"/>
              <w:ind w:left="20"/>
              <w:jc w:val="left"/>
              <w:rPr>
                <w:rFonts w:ascii="宋体" w:hAnsi="宋体" w:cs="宋体"/>
              </w:rPr>
            </w:pPr>
            <w:r>
              <w:rPr>
                <w:rFonts w:hint="eastAsia" w:ascii="宋体" w:hAnsi="宋体" w:cs="宋体"/>
              </w:rPr>
              <w:t>研究预期成果及推广前景</w:t>
            </w:r>
          </w:p>
          <w:p>
            <w:pPr>
              <w:pStyle w:val="4"/>
              <w:snapToGrid w:val="0"/>
              <w:spacing w:line="360" w:lineRule="exact"/>
              <w:jc w:val="left"/>
              <w:rPr>
                <w:rFonts w:hAnsi="宋体"/>
                <w:kern w:val="2"/>
                <w:sz w:val="21"/>
                <w:szCs w:val="21"/>
              </w:rPr>
            </w:pPr>
            <w:r>
              <w:rPr>
                <w:rFonts w:hint="eastAsia" w:hAnsi="宋体" w:cs="宋体"/>
              </w:rPr>
              <w:t>（</w:t>
            </w:r>
            <w:r>
              <w:rPr>
                <w:rFonts w:hAnsi="宋体" w:cs="宋体"/>
              </w:rPr>
              <w:t>4</w:t>
            </w:r>
            <w:r>
              <w:rPr>
                <w:rFonts w:hint="eastAsia" w:hAnsi="宋体" w:cs="宋体"/>
              </w:rPr>
              <w:t>分）</w:t>
            </w:r>
          </w:p>
        </w:tc>
        <w:tc>
          <w:tcPr>
            <w:tcW w:w="4961" w:type="dxa"/>
            <w:tcBorders>
              <w:left w:val="single" w:color="auto" w:sz="4" w:space="0"/>
            </w:tcBorders>
            <w:vAlign w:val="center"/>
          </w:tcPr>
          <w:p>
            <w:pPr>
              <w:snapToGrid w:val="0"/>
              <w:spacing w:line="360" w:lineRule="exact"/>
              <w:jc w:val="left"/>
              <w:rPr>
                <w:rFonts w:ascii="宋体" w:hAnsi="宋体" w:cs="宋体"/>
                <w:szCs w:val="21"/>
              </w:rPr>
            </w:pPr>
            <w:r>
              <w:rPr>
                <w:rFonts w:hint="eastAsia" w:ascii="宋体" w:hAnsi="宋体" w:cs="宋体"/>
                <w:szCs w:val="21"/>
              </w:rPr>
              <w:t>预期成果符合招标项目要求, 推广应用前景把握准确、描述具体清楚，得</w:t>
            </w:r>
            <w:r>
              <w:rPr>
                <w:rFonts w:ascii="宋体" w:hAnsi="宋体" w:cs="宋体"/>
                <w:szCs w:val="21"/>
              </w:rPr>
              <w:t>3.2</w:t>
            </w:r>
            <w:r>
              <w:rPr>
                <w:rFonts w:hint="eastAsia" w:ascii="宋体" w:hAnsi="宋体" w:cs="宋体"/>
                <w:szCs w:val="21"/>
              </w:rPr>
              <w:t>（不含）-</w:t>
            </w:r>
            <w:r>
              <w:rPr>
                <w:rFonts w:ascii="宋体" w:hAnsi="宋体" w:cs="宋体"/>
                <w:szCs w:val="21"/>
              </w:rPr>
              <w:t>4</w:t>
            </w:r>
            <w:r>
              <w:rPr>
                <w:rFonts w:hint="eastAsia" w:ascii="宋体" w:hAnsi="宋体" w:cs="宋体"/>
                <w:szCs w:val="21"/>
              </w:rPr>
              <w:t>.0分；</w:t>
            </w:r>
          </w:p>
          <w:p>
            <w:pPr>
              <w:snapToGrid w:val="0"/>
              <w:spacing w:line="360" w:lineRule="exact"/>
              <w:jc w:val="left"/>
              <w:rPr>
                <w:rFonts w:ascii="宋体" w:hAnsi="宋体" w:cs="宋体"/>
                <w:szCs w:val="21"/>
              </w:rPr>
            </w:pPr>
            <w:r>
              <w:rPr>
                <w:rFonts w:hint="eastAsia" w:ascii="宋体" w:hAnsi="宋体" w:cs="宋体"/>
                <w:szCs w:val="21"/>
              </w:rPr>
              <w:t>预期成果较符合招标项目要求, 推广应用前景把握较准确、描述清楚，得</w:t>
            </w:r>
            <w:r>
              <w:rPr>
                <w:rFonts w:ascii="宋体" w:hAnsi="宋体" w:cs="宋体"/>
                <w:szCs w:val="21"/>
              </w:rPr>
              <w:t>2.4</w:t>
            </w:r>
            <w:r>
              <w:rPr>
                <w:rFonts w:hint="eastAsia" w:ascii="宋体" w:hAnsi="宋体" w:cs="宋体"/>
                <w:szCs w:val="21"/>
              </w:rPr>
              <w:t>（不含）-</w:t>
            </w:r>
            <w:r>
              <w:rPr>
                <w:rFonts w:ascii="宋体" w:hAnsi="宋体" w:cs="宋体"/>
                <w:szCs w:val="21"/>
              </w:rPr>
              <w:t>3.2</w:t>
            </w:r>
            <w:r>
              <w:rPr>
                <w:rFonts w:hint="eastAsia" w:ascii="宋体" w:hAnsi="宋体" w:cs="宋体"/>
                <w:szCs w:val="21"/>
              </w:rPr>
              <w:t>（含）分；</w:t>
            </w:r>
          </w:p>
          <w:p>
            <w:pPr>
              <w:pStyle w:val="4"/>
              <w:snapToGrid w:val="0"/>
              <w:spacing w:line="360" w:lineRule="exact"/>
              <w:rPr>
                <w:rFonts w:hAnsi="宋体" w:cs="宋体"/>
                <w:kern w:val="2"/>
                <w:sz w:val="21"/>
                <w:szCs w:val="21"/>
              </w:rPr>
            </w:pPr>
            <w:r>
              <w:rPr>
                <w:rFonts w:hint="eastAsia" w:hAnsi="宋体" w:cs="宋体"/>
                <w:kern w:val="2"/>
                <w:sz w:val="21"/>
                <w:szCs w:val="21"/>
              </w:rPr>
              <w:t>预期成果基本符合招标项目要求, 推广应用前景把握较准确、描述清楚，得</w:t>
            </w:r>
            <w:r>
              <w:rPr>
                <w:rFonts w:hAnsi="宋体" w:cs="宋体"/>
                <w:kern w:val="2"/>
                <w:sz w:val="21"/>
                <w:szCs w:val="21"/>
              </w:rPr>
              <w:t>2.4</w:t>
            </w:r>
            <w:r>
              <w:rPr>
                <w:rFonts w:hint="eastAsia" w:hAnsi="宋体" w:cs="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分</w:t>
            </w:r>
          </w:p>
        </w:tc>
        <w:tc>
          <w:tcPr>
            <w:tcW w:w="7371" w:type="dxa"/>
            <w:gridSpan w:val="3"/>
            <w:vAlign w:val="center"/>
          </w:tcPr>
          <w:p>
            <w:pPr>
              <w:pStyle w:val="4"/>
              <w:spacing w:line="36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w:t>
            </w:r>
            <w:r>
              <w:rPr>
                <w:rFonts w:hAnsi="宋体"/>
                <w:kern w:val="2"/>
                <w:sz w:val="21"/>
                <w:szCs w:val="21"/>
              </w:rPr>
              <w:t>12</w:t>
            </w:r>
            <w:r>
              <w:rPr>
                <w:rFonts w:hint="eastAsia" w:hAnsi="宋体"/>
                <w:kern w:val="2"/>
                <w:sz w:val="21"/>
                <w:szCs w:val="21"/>
              </w:rPr>
              <w:t>分。</w:t>
            </w:r>
          </w:p>
          <w:p>
            <w:pPr>
              <w:pStyle w:val="4"/>
              <w:spacing w:line="360" w:lineRule="exact"/>
              <w:rPr>
                <w:rFonts w:hAnsi="宋体"/>
                <w:szCs w:val="21"/>
              </w:rPr>
            </w:pPr>
            <w:r>
              <w:rPr>
                <w:rFonts w:hint="eastAsia" w:hAnsi="宋体"/>
                <w:kern w:val="2"/>
                <w:sz w:val="21"/>
                <w:szCs w:val="21"/>
              </w:rPr>
              <w:t>项目负责人</w:t>
            </w:r>
            <w:r>
              <w:rPr>
                <w:rFonts w:hint="eastAsia" w:hAnsi="宋体"/>
                <w:szCs w:val="21"/>
              </w:rPr>
              <w:t>每增加1项满足资格审查条件（项目负责人最低要求）的</w:t>
            </w:r>
            <w:r>
              <w:rPr>
                <w:rFonts w:hint="eastAsia" w:hAnsi="宋体"/>
                <w:kern w:val="2"/>
                <w:sz w:val="21"/>
                <w:szCs w:val="21"/>
              </w:rPr>
              <w:t>业绩加</w:t>
            </w:r>
            <w:r>
              <w:rPr>
                <w:rFonts w:hAnsi="宋体"/>
                <w:kern w:val="2"/>
                <w:sz w:val="21"/>
                <w:szCs w:val="21"/>
              </w:rPr>
              <w:t>8</w:t>
            </w:r>
            <w:r>
              <w:rPr>
                <w:rFonts w:hint="eastAsia" w:hAnsi="宋体"/>
                <w:kern w:val="2"/>
                <w:sz w:val="21"/>
                <w:szCs w:val="21"/>
              </w:rPr>
              <w:t>分，最多加</w:t>
            </w:r>
            <w:r>
              <w:rPr>
                <w:rFonts w:hAnsi="宋体"/>
                <w:kern w:val="2"/>
                <w:sz w:val="21"/>
                <w:szCs w:val="21"/>
              </w:rPr>
              <w:t>8</w:t>
            </w:r>
            <w:r>
              <w:rPr>
                <w:rFonts w:hint="eastAsia" w:hAnsi="宋体"/>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kern w:val="0"/>
                <w:szCs w:val="21"/>
              </w:rPr>
              <w:t>评标价</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kern w:val="0"/>
                <w:szCs w:val="21"/>
              </w:rPr>
              <w:t>10分</w:t>
            </w:r>
          </w:p>
        </w:tc>
        <w:tc>
          <w:tcPr>
            <w:tcW w:w="7371"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pStyle w:val="4"/>
              <w:spacing w:line="360" w:lineRule="exact"/>
              <w:ind w:left="840" w:hanging="420"/>
              <w:rPr>
                <w:rFonts w:hAnsi="宋体"/>
                <w:kern w:val="2"/>
                <w:sz w:val="21"/>
                <w:szCs w:val="21"/>
              </w:rPr>
            </w:pPr>
            <w:r>
              <w:rPr>
                <w:rFonts w:hint="eastAsia" w:hAnsi="宋体"/>
                <w:kern w:val="2"/>
                <w:sz w:val="21"/>
                <w:szCs w:val="21"/>
              </w:rPr>
              <w:t>其中，F=10；E1=0.2；E2=0.1；评标价最低得分为0分。</w:t>
            </w:r>
          </w:p>
          <w:p>
            <w:pPr>
              <w:pStyle w:val="4"/>
              <w:spacing w:line="360" w:lineRule="exact"/>
              <w:rPr>
                <w:rFonts w:hAnsi="宋体"/>
                <w:szCs w:val="21"/>
              </w:rPr>
            </w:pPr>
            <w:r>
              <w:rPr>
                <w:rFonts w:hint="eastAsia" w:hAnsi="宋体"/>
                <w:kern w:val="2"/>
                <w:sz w:val="21"/>
                <w:szCs w:val="21"/>
              </w:rPr>
              <w:t>评标价得分保留小数点后2位。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4"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618"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371" w:type="dxa"/>
            <w:gridSpan w:val="3"/>
            <w:vAlign w:val="center"/>
          </w:tcPr>
          <w:p>
            <w:pPr>
              <w:spacing w:line="360" w:lineRule="exact"/>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kern w:val="0"/>
                <w:szCs w:val="21"/>
              </w:rPr>
              <w:t>每增加1项满足资格审查条件（业绩最低要求）的业绩加10分，最多加10分。</w:t>
            </w:r>
          </w:p>
        </w:tc>
      </w:tr>
    </w:tbl>
    <w:p>
      <w:pPr>
        <w:widowControl/>
        <w:jc w:val="left"/>
        <w:rPr>
          <w:rFonts w:ascii="宋体" w:hAnsi="宋体"/>
          <w:kern w:val="0"/>
          <w:sz w:val="20"/>
          <w:szCs w:val="20"/>
        </w:rPr>
      </w:pPr>
      <w:r>
        <w:rPr>
          <w:rFonts w:hint="eastAsia" w:ascii="宋体" w:hAnsi="宋体"/>
          <w:kern w:val="0"/>
          <w:sz w:val="20"/>
          <w:szCs w:val="20"/>
        </w:rPr>
        <w:t>注：（1）评委打分保留小数点后1位，技术建议书以评标委员会各成员的打分平均值确定，保留小数点后两位；汇总得分保留小数点后两位。（2）技术建议书评审因素细分项缺项则该项得0分。</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570C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4">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2023-11-09T00:09:13Z</dcterms:created>
  <dc:creator>Administrator</dc:creator>
  <cp:lastModifiedBy>李娜</cp:lastModifiedBy>
  <dcterms:modified xsi:type="dcterms:W3CDTF">2023-11-09T00:09:21Z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7D5F5438A98C45EFB17D060EA5AA196F_12</vt:lpwstr>
  </property>
</Properties>
</file>