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12" w:lineRule="auto"/>
        <w:rPr>
          <w:rFonts w:ascii="黑体" w:hAnsi="黑体"/>
          <w:b w:val="0"/>
          <w:bCs w:val="0"/>
          <w:sz w:val="26"/>
          <w:szCs w:val="26"/>
        </w:rPr>
      </w:pPr>
      <w:bookmarkStart w:id="0" w:name="_Hlk135998188"/>
      <w:bookmarkStart w:id="1" w:name="_Hlk146708458"/>
      <w:r>
        <w:rPr>
          <w:rFonts w:hint="eastAsia" w:ascii="黑体" w:hAnsi="黑体"/>
          <w:b w:val="0"/>
          <w:bCs w:val="0"/>
          <w:sz w:val="26"/>
          <w:szCs w:val="26"/>
        </w:rPr>
        <w:t>附件1：资格审查条件</w:t>
      </w:r>
    </w:p>
    <w:p>
      <w:pPr>
        <w:spacing w:after="120" w:afterLines="50"/>
        <w:jc w:val="center"/>
        <w:rPr>
          <w:rFonts w:ascii="宋体" w:hAnsi="宋体"/>
          <w:b/>
          <w:sz w:val="24"/>
        </w:rPr>
      </w:pPr>
      <w:bookmarkStart w:id="2" w:name="_Hlk133410725"/>
      <w:r>
        <w:rPr>
          <w:rFonts w:hint="eastAsia" w:ascii="宋体" w:hAnsi="宋体"/>
          <w:b/>
          <w:sz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 w:val="22"/>
                <w:szCs w:val="22"/>
              </w:rPr>
            </w:pPr>
            <w:r>
              <w:rPr>
                <w:rFonts w:hint="eastAsia" w:ascii="宋体" w:hAnsi="宋体"/>
                <w:sz w:val="22"/>
                <w:szCs w:val="22"/>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66" w:type="dxa"/>
            <w:vAlign w:val="center"/>
          </w:tcPr>
          <w:p>
            <w:pPr>
              <w:snapToGrid w:val="0"/>
              <w:spacing w:line="320" w:lineRule="exact"/>
              <w:jc w:val="center"/>
              <w:rPr>
                <w:rFonts w:ascii="宋体" w:hAnsi="宋体"/>
                <w:sz w:val="22"/>
                <w:szCs w:val="22"/>
              </w:rPr>
            </w:pPr>
            <w:r>
              <w:rPr>
                <w:rFonts w:hint="eastAsia" w:ascii="宋体" w:hAnsi="宋体"/>
                <w:sz w:val="22"/>
                <w:szCs w:val="22"/>
              </w:rPr>
              <w:t>营业执照</w:t>
            </w:r>
          </w:p>
        </w:tc>
        <w:tc>
          <w:tcPr>
            <w:tcW w:w="7702" w:type="dxa"/>
            <w:vAlign w:val="center"/>
          </w:tcPr>
          <w:p>
            <w:pPr>
              <w:snapToGrid w:val="0"/>
              <w:spacing w:line="320" w:lineRule="exact"/>
              <w:rPr>
                <w:rFonts w:ascii="宋体" w:hAnsi="宋体"/>
                <w:sz w:val="22"/>
                <w:szCs w:val="22"/>
              </w:rPr>
            </w:pPr>
            <w:r>
              <w:rPr>
                <w:rFonts w:hint="eastAsia" w:ascii="宋体" w:hAnsi="宋体"/>
                <w:sz w:val="22"/>
                <w:szCs w:val="22"/>
              </w:rPr>
              <w:t>投标人具有独立企业法人资格，持有有效的企业营业执照。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466" w:type="dxa"/>
            <w:vAlign w:val="center"/>
          </w:tcPr>
          <w:p>
            <w:pPr>
              <w:snapToGrid w:val="0"/>
              <w:spacing w:line="320" w:lineRule="exact"/>
              <w:jc w:val="center"/>
              <w:rPr>
                <w:rFonts w:ascii="宋体" w:hAnsi="宋体"/>
                <w:sz w:val="22"/>
                <w:szCs w:val="22"/>
              </w:rPr>
            </w:pPr>
            <w:r>
              <w:rPr>
                <w:rFonts w:hint="eastAsia" w:ascii="宋体" w:hAnsi="宋体"/>
                <w:sz w:val="22"/>
                <w:szCs w:val="22"/>
              </w:rPr>
              <w:t>资质条件</w:t>
            </w:r>
          </w:p>
        </w:tc>
        <w:tc>
          <w:tcPr>
            <w:tcW w:w="7702" w:type="dxa"/>
            <w:vAlign w:val="center"/>
          </w:tcPr>
          <w:p>
            <w:pPr>
              <w:snapToGrid w:val="0"/>
              <w:spacing w:after="120" w:afterLines="50" w:line="320" w:lineRule="exact"/>
              <w:rPr>
                <w:rFonts w:ascii="宋体" w:hAnsi="宋体"/>
                <w:sz w:val="22"/>
                <w:szCs w:val="22"/>
              </w:rPr>
            </w:pPr>
            <w:r>
              <w:rPr>
                <w:rFonts w:hint="eastAsia" w:ascii="宋体" w:hAnsi="宋体"/>
                <w:b/>
                <w:bCs/>
                <w:sz w:val="22"/>
                <w:szCs w:val="22"/>
              </w:rPr>
              <w:t>设计资质</w:t>
            </w:r>
            <w:r>
              <w:rPr>
                <w:rFonts w:hint="eastAsia" w:ascii="宋体" w:hAnsi="宋体"/>
                <w:sz w:val="22"/>
                <w:szCs w:val="22"/>
              </w:rPr>
              <w:t>：具备住房和城乡建设行政主管部门颁发的工程设计综合甲级资质或公路行业甲级资质或公路行业（公路、交通工程）专业甲级资质。</w:t>
            </w:r>
          </w:p>
          <w:p>
            <w:pPr>
              <w:snapToGrid w:val="0"/>
              <w:spacing w:after="120" w:afterLines="50" w:line="320" w:lineRule="exact"/>
              <w:rPr>
                <w:rFonts w:ascii="宋体" w:hAnsi="宋体"/>
                <w:sz w:val="22"/>
                <w:szCs w:val="22"/>
              </w:rPr>
            </w:pPr>
            <w:r>
              <w:rPr>
                <w:rFonts w:hint="eastAsia" w:ascii="宋体" w:hAnsi="宋体"/>
                <w:b/>
                <w:bCs/>
                <w:sz w:val="22"/>
                <w:szCs w:val="22"/>
              </w:rPr>
              <w:t>施工资质</w:t>
            </w:r>
            <w:r>
              <w:rPr>
                <w:rFonts w:hint="eastAsia" w:ascii="宋体" w:hAnsi="宋体"/>
                <w:sz w:val="22"/>
                <w:szCs w:val="22"/>
              </w:rPr>
              <w:t>：具备住房和城乡建设行政主管部门颁发的公路工程施工总承包一级（或以上）资质、公路交通工程（公路安全设施分项、公路机电工程分项）专业承包一级资质和建筑工程施工总承包三级（或以上）资质。具有住房和城乡建设行政主管部门颁发的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168" w:type="dxa"/>
            <w:gridSpan w:val="2"/>
            <w:vAlign w:val="center"/>
          </w:tcPr>
          <w:p>
            <w:pPr>
              <w:snapToGrid w:val="0"/>
              <w:spacing w:line="320" w:lineRule="exact"/>
              <w:rPr>
                <w:rFonts w:ascii="宋体" w:hAnsi="宋体"/>
                <w:sz w:val="22"/>
                <w:szCs w:val="22"/>
              </w:rPr>
            </w:pPr>
            <w:r>
              <w:rPr>
                <w:rFonts w:hint="eastAsia" w:ascii="宋体" w:hAnsi="宋体"/>
                <w:sz w:val="22"/>
                <w:szCs w:val="22"/>
              </w:rPr>
              <w:t>以联合体形式投标的，联合体所有成员数量不得超过</w:t>
            </w:r>
            <w:r>
              <w:rPr>
                <w:rFonts w:ascii="宋体" w:hAnsi="宋体"/>
                <w:sz w:val="22"/>
                <w:szCs w:val="22"/>
              </w:rPr>
              <w:t>5</w:t>
            </w:r>
            <w:r>
              <w:rPr>
                <w:rFonts w:hint="eastAsia" w:ascii="宋体" w:hAnsi="宋体"/>
                <w:sz w:val="22"/>
                <w:szCs w:val="22"/>
              </w:rPr>
              <w:t>家；</w:t>
            </w:r>
          </w:p>
          <w:p>
            <w:pPr>
              <w:snapToGrid w:val="0"/>
              <w:spacing w:line="320" w:lineRule="exact"/>
              <w:rPr>
                <w:rFonts w:ascii="宋体" w:hAnsi="宋体"/>
                <w:sz w:val="22"/>
                <w:szCs w:val="22"/>
              </w:rPr>
            </w:pPr>
            <w:r>
              <w:rPr>
                <w:rFonts w:hint="eastAsia" w:ascii="宋体" w:hAnsi="宋体"/>
                <w:sz w:val="22"/>
                <w:szCs w:val="22"/>
              </w:rPr>
              <w:t>联合体牵头人应具备“公路工程施工总承包一级（或以上）资质”；</w:t>
            </w:r>
          </w:p>
          <w:p>
            <w:pPr>
              <w:snapToGrid w:val="0"/>
              <w:spacing w:line="320" w:lineRule="exact"/>
              <w:rPr>
                <w:rFonts w:ascii="宋体" w:hAnsi="宋体"/>
                <w:sz w:val="22"/>
                <w:szCs w:val="22"/>
              </w:rPr>
            </w:pPr>
            <w:r>
              <w:rPr>
                <w:rFonts w:hint="eastAsia" w:ascii="宋体" w:hAnsi="宋体"/>
                <w:sz w:val="22"/>
                <w:szCs w:val="22"/>
              </w:rPr>
              <w:t>联合体成员应满足本项规定的资格条件。</w:t>
            </w:r>
          </w:p>
        </w:tc>
      </w:tr>
    </w:tbl>
    <w:p>
      <w:pPr>
        <w:pStyle w:val="2"/>
      </w:pPr>
    </w:p>
    <w:p>
      <w:pPr>
        <w:spacing w:after="120" w:afterLines="50"/>
        <w:jc w:val="center"/>
        <w:rPr>
          <w:rFonts w:ascii="宋体" w:hAnsi="宋体"/>
          <w:b/>
          <w:sz w:val="24"/>
        </w:rPr>
      </w:pPr>
      <w:r>
        <w:rPr>
          <w:rFonts w:hint="eastAsia" w:ascii="宋体" w:hAnsi="宋体"/>
          <w:b/>
          <w:sz w:val="24"/>
        </w:rPr>
        <w:t>附录2 资格审查条件(财务最低要求)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90" w:type="dxa"/>
            <w:vAlign w:val="center"/>
          </w:tcPr>
          <w:p>
            <w:pPr>
              <w:snapToGrid w:val="0"/>
              <w:spacing w:line="320" w:lineRule="exact"/>
              <w:jc w:val="center"/>
              <w:rPr>
                <w:rFonts w:ascii="宋体" w:hAnsi="宋体"/>
                <w:sz w:val="22"/>
                <w:szCs w:val="22"/>
              </w:rPr>
            </w:pPr>
            <w:r>
              <w:rPr>
                <w:rFonts w:hint="eastAsia" w:ascii="宋体" w:hAnsi="宋体"/>
                <w:sz w:val="22"/>
                <w:szCs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9090" w:type="dxa"/>
            <w:vAlign w:val="center"/>
          </w:tcPr>
          <w:p>
            <w:pPr>
              <w:spacing w:line="400" w:lineRule="exact"/>
              <w:ind w:firstLine="440" w:firstLineChars="200"/>
              <w:jc w:val="left"/>
              <w:rPr>
                <w:rFonts w:ascii="宋体" w:hAnsi="宋体" w:cs="宋体"/>
                <w:sz w:val="22"/>
                <w:szCs w:val="22"/>
              </w:rPr>
            </w:pPr>
            <w:r>
              <w:rPr>
                <w:rFonts w:hint="eastAsia" w:ascii="宋体" w:hAnsi="宋体" w:cs="宋体"/>
                <w:sz w:val="22"/>
                <w:szCs w:val="22"/>
              </w:rPr>
              <w:t>投标人承诺为本合同所提供的营运资金(以经会计事务所或审计机构审计的最新财务报表(2022年度)中：营运资金=流动资产-流动负债，以年末数计算)以及为本项目而专门开具的银行信贷证明总和不得少于</w:t>
            </w:r>
            <w:r>
              <w:rPr>
                <w:rFonts w:ascii="宋体" w:hAnsi="宋体" w:cs="宋体"/>
                <w:sz w:val="22"/>
                <w:szCs w:val="22"/>
              </w:rPr>
              <w:t>500万元</w:t>
            </w:r>
            <w:r>
              <w:rPr>
                <w:rFonts w:hint="eastAsia" w:ascii="宋体" w:hAnsi="宋体" w:cs="宋体"/>
                <w:sz w:val="22"/>
                <w:szCs w:val="22"/>
              </w:rPr>
              <w:t>。</w:t>
            </w:r>
          </w:p>
          <w:p>
            <w:pPr>
              <w:adjustRightInd w:val="0"/>
              <w:snapToGrid w:val="0"/>
              <w:spacing w:line="320" w:lineRule="exact"/>
              <w:ind w:firstLine="440" w:firstLineChars="200"/>
              <w:rPr>
                <w:rFonts w:ascii="宋体" w:hAnsi="宋体" w:cs="宋体"/>
                <w:sz w:val="22"/>
                <w:szCs w:val="22"/>
              </w:rPr>
            </w:pPr>
            <w:r>
              <w:rPr>
                <w:rFonts w:hint="eastAsia" w:ascii="宋体" w:hAnsi="宋体" w:cs="宋体"/>
                <w:sz w:val="22"/>
                <w:szCs w:val="22"/>
              </w:rPr>
              <w:t>以联合体形式投标的，联合体牵头人应满足本项规定的资格条件。</w:t>
            </w:r>
          </w:p>
        </w:tc>
      </w:tr>
    </w:tbl>
    <w:p>
      <w:pPr>
        <w:pStyle w:val="2"/>
      </w:pPr>
    </w:p>
    <w:p>
      <w:pPr>
        <w:spacing w:after="120" w:afterLines="50"/>
        <w:jc w:val="center"/>
        <w:rPr>
          <w:rFonts w:ascii="宋体" w:hAnsi="宋体"/>
          <w:b/>
          <w:sz w:val="24"/>
        </w:rPr>
      </w:pPr>
      <w:r>
        <w:rPr>
          <w:rFonts w:hint="eastAsia" w:ascii="宋体" w:hAnsi="宋体"/>
          <w:b/>
          <w:sz w:val="24"/>
        </w:rPr>
        <w:t>附录3 资格审查条件(业绩最低要求)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1" w:type="dxa"/>
            <w:vAlign w:val="center"/>
          </w:tcPr>
          <w:p>
            <w:pPr>
              <w:adjustRightInd w:val="0"/>
              <w:snapToGrid w:val="0"/>
              <w:spacing w:line="320" w:lineRule="exact"/>
              <w:ind w:left="-2" w:leftChars="-1"/>
              <w:jc w:val="center"/>
              <w:rPr>
                <w:rFonts w:ascii="宋体" w:hAnsi="宋体"/>
                <w:sz w:val="22"/>
                <w:szCs w:val="22"/>
              </w:rPr>
            </w:pPr>
            <w:bookmarkStart w:id="3" w:name="_Hlk52204292"/>
            <w:r>
              <w:rPr>
                <w:rFonts w:hint="eastAsia" w:ascii="宋体" w:hAnsi="宋体"/>
                <w:sz w:val="22"/>
                <w:szCs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221" w:type="dxa"/>
            <w:vAlign w:val="center"/>
          </w:tcPr>
          <w:p>
            <w:pPr>
              <w:snapToGrid w:val="0"/>
              <w:spacing w:line="320" w:lineRule="exact"/>
              <w:rPr>
                <w:rFonts w:ascii="宋体" w:hAnsi="宋体"/>
                <w:sz w:val="22"/>
                <w:szCs w:val="22"/>
              </w:rPr>
            </w:pPr>
            <w:r>
              <w:rPr>
                <w:rFonts w:hint="eastAsia" w:ascii="宋体" w:hAnsi="宋体"/>
                <w:b/>
                <w:bCs/>
                <w:sz w:val="22"/>
                <w:szCs w:val="22"/>
              </w:rPr>
              <w:t>设计业绩</w:t>
            </w:r>
            <w:r>
              <w:rPr>
                <w:rFonts w:hint="eastAsia" w:ascii="宋体" w:hAnsi="宋体"/>
                <w:sz w:val="22"/>
                <w:szCs w:val="22"/>
              </w:rPr>
              <w:t>：</w:t>
            </w:r>
          </w:p>
          <w:p>
            <w:pPr>
              <w:snapToGrid w:val="0"/>
              <w:spacing w:line="320" w:lineRule="exact"/>
              <w:ind w:firstLine="440" w:firstLineChars="200"/>
              <w:rPr>
                <w:rFonts w:ascii="宋体" w:hAnsi="宋体"/>
                <w:sz w:val="22"/>
                <w:szCs w:val="22"/>
              </w:rPr>
            </w:pPr>
            <w:r>
              <w:rPr>
                <w:rFonts w:hint="eastAsia" w:ascii="宋体" w:hAnsi="宋体"/>
                <w:sz w:val="22"/>
                <w:szCs w:val="22"/>
              </w:rPr>
              <w:t>近5年(2018年10月1日至投标截止时间，以施工图设计批复时间为准)至少独立完成过 1项高速公路（新建或改扩建或养护）工程的设计业绩。</w:t>
            </w:r>
          </w:p>
          <w:p>
            <w:pPr>
              <w:snapToGrid w:val="0"/>
              <w:spacing w:line="320" w:lineRule="exact"/>
              <w:rPr>
                <w:rFonts w:ascii="宋体" w:hAnsi="宋体"/>
                <w:sz w:val="22"/>
                <w:szCs w:val="22"/>
              </w:rPr>
            </w:pPr>
            <w:r>
              <w:rPr>
                <w:rFonts w:hint="eastAsia" w:ascii="宋体" w:hAnsi="宋体"/>
                <w:b/>
                <w:bCs/>
                <w:sz w:val="22"/>
                <w:szCs w:val="22"/>
              </w:rPr>
              <w:t>施工业绩</w:t>
            </w:r>
            <w:r>
              <w:rPr>
                <w:rFonts w:hint="eastAsia" w:ascii="宋体" w:hAnsi="宋体"/>
                <w:sz w:val="22"/>
                <w:szCs w:val="22"/>
              </w:rPr>
              <w:t>：</w:t>
            </w:r>
          </w:p>
          <w:p>
            <w:pPr>
              <w:snapToGrid w:val="0"/>
              <w:spacing w:line="320" w:lineRule="exact"/>
              <w:ind w:firstLine="440" w:firstLineChars="200"/>
              <w:rPr>
                <w:rFonts w:ascii="宋体" w:hAnsi="宋体"/>
                <w:sz w:val="22"/>
                <w:szCs w:val="22"/>
              </w:rPr>
            </w:pPr>
            <w:r>
              <w:rPr>
                <w:rFonts w:hint="eastAsia" w:ascii="宋体" w:hAnsi="宋体"/>
                <w:sz w:val="22"/>
                <w:szCs w:val="22"/>
              </w:rPr>
              <w:t>公路业绩：近5年（2018年10月1日至投标截止时间，以工程交工时间为准）至少独立完成过</w:t>
            </w:r>
            <w:r>
              <w:rPr>
                <w:rFonts w:ascii="宋体" w:hAnsi="宋体"/>
                <w:sz w:val="22"/>
                <w:szCs w:val="22"/>
              </w:rPr>
              <w:t>1项</w:t>
            </w:r>
            <w:r>
              <w:rPr>
                <w:rFonts w:hint="eastAsia" w:ascii="宋体" w:hAnsi="宋体"/>
                <w:sz w:val="22"/>
                <w:szCs w:val="22"/>
              </w:rPr>
              <w:t>高速公路（新建或改扩建或养护）工程施工业绩。</w:t>
            </w:r>
          </w:p>
          <w:p>
            <w:pPr>
              <w:pStyle w:val="2"/>
              <w:spacing w:after="0"/>
              <w:ind w:firstLine="440" w:firstLineChars="200"/>
            </w:pPr>
            <w:r>
              <w:rPr>
                <w:rFonts w:hint="eastAsia" w:ascii="宋体" w:hAnsi="宋体"/>
                <w:sz w:val="22"/>
                <w:szCs w:val="22"/>
              </w:rPr>
              <w:t>机电业绩：近5年（2018年10月1日至投标截止时间，以工程交工时间为准）至少独立完成过</w:t>
            </w:r>
            <w:r>
              <w:rPr>
                <w:rFonts w:ascii="宋体" w:hAnsi="宋体"/>
                <w:sz w:val="22"/>
                <w:szCs w:val="22"/>
              </w:rPr>
              <w:t>1项</w:t>
            </w:r>
            <w:r>
              <w:rPr>
                <w:rFonts w:hint="eastAsia" w:ascii="宋体" w:hAnsi="宋体"/>
                <w:sz w:val="22"/>
                <w:szCs w:val="22"/>
              </w:rPr>
              <w:t>高速公路（新建或改扩建或养护）机电工程施工业绩。</w:t>
            </w:r>
          </w:p>
          <w:p>
            <w:pPr>
              <w:snapToGrid w:val="0"/>
              <w:spacing w:line="320" w:lineRule="exact"/>
              <w:ind w:firstLine="440" w:firstLineChars="200"/>
              <w:rPr>
                <w:rFonts w:ascii="宋体" w:hAnsi="宋体"/>
                <w:sz w:val="22"/>
                <w:szCs w:val="22"/>
              </w:rPr>
            </w:pPr>
            <w:r>
              <w:rPr>
                <w:rFonts w:hint="eastAsia" w:ascii="宋体" w:hAnsi="宋体"/>
                <w:sz w:val="22"/>
                <w:szCs w:val="22"/>
              </w:rPr>
              <w:t>房建业绩：近5年（2018年10月1日至投标截止时间，以工程交工或竣工时间为准）至少独立完成过</w:t>
            </w:r>
            <w:r>
              <w:rPr>
                <w:rFonts w:ascii="宋体" w:hAnsi="宋体"/>
                <w:sz w:val="22"/>
                <w:szCs w:val="22"/>
              </w:rPr>
              <w:t>1项</w:t>
            </w:r>
            <w:r>
              <w:rPr>
                <w:rFonts w:hint="eastAsia" w:ascii="宋体" w:hAnsi="宋体"/>
                <w:sz w:val="22"/>
                <w:szCs w:val="22"/>
              </w:rPr>
              <w:t>房屋建筑工程（含钢结构工程）施工业绩。</w:t>
            </w:r>
          </w:p>
          <w:p>
            <w:pPr>
              <w:snapToGrid w:val="0"/>
              <w:spacing w:line="320" w:lineRule="exact"/>
              <w:ind w:firstLine="440" w:firstLineChars="200"/>
            </w:pPr>
            <w:r>
              <w:rPr>
                <w:rFonts w:hint="eastAsia" w:ascii="宋体" w:hAnsi="宋体"/>
                <w:sz w:val="22"/>
                <w:szCs w:val="22"/>
              </w:rPr>
              <w:t>以联合体形式投标的，联合体成员应满足本项规定的资格条件。</w:t>
            </w:r>
          </w:p>
        </w:tc>
      </w:tr>
      <w:bookmarkEnd w:id="3"/>
    </w:tbl>
    <w:p>
      <w:pPr>
        <w:pStyle w:val="2"/>
      </w:pPr>
    </w:p>
    <w:p>
      <w:pPr>
        <w:snapToGrid w:val="0"/>
        <w:spacing w:after="120" w:afterLines="50"/>
        <w:jc w:val="center"/>
        <w:rPr>
          <w:rFonts w:ascii="宋体" w:hAnsi="宋体"/>
          <w:b/>
          <w:sz w:val="24"/>
        </w:rPr>
      </w:pPr>
      <w:r>
        <w:rPr>
          <w:rFonts w:hint="eastAsia" w:ascii="宋体" w:hAnsi="宋体"/>
          <w:b/>
          <w:sz w:val="24"/>
        </w:rPr>
        <w:t>附录4 资格审查条件（信誉最低要求）</w:t>
      </w: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68" w:type="dxa"/>
            <w:vAlign w:val="center"/>
          </w:tcPr>
          <w:p>
            <w:pPr>
              <w:spacing w:line="360" w:lineRule="auto"/>
              <w:jc w:val="center"/>
              <w:rPr>
                <w:rFonts w:ascii="宋体" w:hAnsi="宋体"/>
                <w:sz w:val="22"/>
                <w:szCs w:val="22"/>
              </w:rPr>
            </w:pPr>
            <w:r>
              <w:rPr>
                <w:rFonts w:hint="eastAsia" w:ascii="宋体" w:hAnsi="宋体"/>
                <w:sz w:val="22"/>
                <w:szCs w:val="2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9468" w:type="dxa"/>
            <w:vAlign w:val="center"/>
          </w:tcPr>
          <w:p>
            <w:pPr>
              <w:snapToGrid w:val="0"/>
              <w:spacing w:line="320" w:lineRule="exact"/>
              <w:ind w:firstLine="440" w:firstLineChars="200"/>
              <w:rPr>
                <w:rFonts w:ascii="宋体" w:hAnsi="宋体"/>
                <w:sz w:val="22"/>
                <w:szCs w:val="22"/>
              </w:rPr>
            </w:pPr>
            <w:r>
              <w:rPr>
                <w:rFonts w:hint="eastAsia" w:ascii="宋体" w:hAnsi="宋体"/>
                <w:sz w:val="22"/>
                <w:szCs w:val="22"/>
              </w:rPr>
              <w:t>投标人在近一年（20</w:t>
            </w:r>
            <w:r>
              <w:rPr>
                <w:rFonts w:ascii="宋体" w:hAnsi="宋体"/>
                <w:sz w:val="22"/>
                <w:szCs w:val="22"/>
              </w:rPr>
              <w:t>22</w:t>
            </w:r>
            <w:r>
              <w:rPr>
                <w:rFonts w:hint="eastAsia" w:ascii="宋体" w:hAnsi="宋体"/>
                <w:sz w:val="22"/>
                <w:szCs w:val="22"/>
              </w:rPr>
              <w:t>年</w:t>
            </w:r>
            <w:r>
              <w:rPr>
                <w:rFonts w:ascii="宋体" w:hAnsi="宋体"/>
                <w:sz w:val="22"/>
                <w:szCs w:val="22"/>
              </w:rPr>
              <w:t>10月1日</w:t>
            </w:r>
            <w:r>
              <w:rPr>
                <w:rFonts w:hint="eastAsia" w:ascii="宋体" w:hAnsi="宋体"/>
                <w:sz w:val="22"/>
                <w:szCs w:val="22"/>
              </w:rPr>
              <w:t>至投标截止时间）不曾在高速公路项目中违约被逐或因投标人自身的原因而使高速公路工程合同被解除。</w:t>
            </w:r>
          </w:p>
          <w:p>
            <w:pPr>
              <w:snapToGrid w:val="0"/>
              <w:spacing w:line="320" w:lineRule="exact"/>
              <w:ind w:firstLine="440" w:firstLineChars="200"/>
            </w:pPr>
            <w:r>
              <w:rPr>
                <w:rFonts w:hint="eastAsia" w:ascii="宋体" w:hAnsi="宋体"/>
                <w:sz w:val="22"/>
                <w:szCs w:val="22"/>
              </w:rPr>
              <w:t>以联合体形式投标的，联合体各成员均应满足本项规定的资格条件。</w:t>
            </w:r>
          </w:p>
        </w:tc>
      </w:tr>
    </w:tbl>
    <w:p>
      <w:pPr>
        <w:pStyle w:val="2"/>
      </w:pPr>
    </w:p>
    <w:p>
      <w:pPr>
        <w:pStyle w:val="2"/>
      </w:pPr>
    </w:p>
    <w:p>
      <w:pPr>
        <w:widowControl/>
        <w:spacing w:after="120" w:afterLines="50"/>
        <w:jc w:val="center"/>
        <w:rPr>
          <w:rFonts w:ascii="宋体" w:hAnsi="宋体"/>
          <w:b/>
          <w:sz w:val="24"/>
        </w:rPr>
      </w:pPr>
      <w:r>
        <w:rPr>
          <w:rFonts w:hint="eastAsia" w:ascii="宋体" w:hAnsi="宋体"/>
          <w:b/>
          <w:sz w:val="24"/>
        </w:rPr>
        <w:t>附录5 资格审查条件（主要人员最低要求）</w:t>
      </w:r>
    </w:p>
    <w:tbl>
      <w:tblPr>
        <w:tblStyle w:val="5"/>
        <w:tblW w:w="937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709"/>
        <w:gridCol w:w="5390"/>
        <w:gridCol w:w="167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14" w:hRule="atLeast"/>
          <w:jc w:val="center"/>
        </w:trPr>
        <w:tc>
          <w:tcPr>
            <w:tcW w:w="1603" w:type="dxa"/>
            <w:tcBorders>
              <w:top w:val="single" w:color="auto" w:sz="2" w:space="0"/>
              <w:left w:val="single" w:color="auto" w:sz="2" w:space="0"/>
              <w:bottom w:val="single" w:color="auto" w:sz="6" w:space="0"/>
              <w:right w:val="single" w:color="auto" w:sz="6" w:space="0"/>
            </w:tcBorders>
            <w:vAlign w:val="center"/>
          </w:tcPr>
          <w:p>
            <w:pPr>
              <w:adjustRightInd w:val="0"/>
              <w:snapToGrid w:val="0"/>
              <w:jc w:val="center"/>
              <w:rPr>
                <w:rFonts w:ascii="宋体" w:hAnsi="宋体"/>
                <w:b/>
                <w:szCs w:val="21"/>
              </w:rPr>
            </w:pPr>
            <w:r>
              <w:rPr>
                <w:rFonts w:hint="eastAsia" w:ascii="宋体" w:hAnsi="宋体"/>
                <w:b/>
              </w:rPr>
              <w:t>岗位</w:t>
            </w:r>
          </w:p>
        </w:tc>
        <w:tc>
          <w:tcPr>
            <w:tcW w:w="709" w:type="dxa"/>
            <w:tcBorders>
              <w:top w:val="single" w:color="auto" w:sz="2" w:space="0"/>
              <w:left w:val="single" w:color="auto" w:sz="6" w:space="0"/>
              <w:bottom w:val="single" w:color="auto" w:sz="6" w:space="0"/>
              <w:right w:val="single" w:color="auto" w:sz="6" w:space="0"/>
            </w:tcBorders>
            <w:vAlign w:val="center"/>
          </w:tcPr>
          <w:p>
            <w:pPr>
              <w:adjustRightInd w:val="0"/>
              <w:snapToGrid w:val="0"/>
              <w:jc w:val="center"/>
              <w:rPr>
                <w:rFonts w:ascii="宋体" w:hAnsi="宋体"/>
                <w:b/>
              </w:rPr>
            </w:pPr>
            <w:r>
              <w:rPr>
                <w:rFonts w:hint="eastAsia" w:ascii="宋体" w:hAnsi="宋体"/>
                <w:b/>
              </w:rPr>
              <w:t>数量</w:t>
            </w:r>
          </w:p>
        </w:tc>
        <w:tc>
          <w:tcPr>
            <w:tcW w:w="5390" w:type="dxa"/>
            <w:tcBorders>
              <w:top w:val="single" w:color="auto" w:sz="2" w:space="0"/>
              <w:left w:val="single" w:color="auto" w:sz="6" w:space="0"/>
              <w:bottom w:val="single" w:color="auto" w:sz="4" w:space="0"/>
              <w:right w:val="single" w:color="auto" w:sz="6" w:space="0"/>
            </w:tcBorders>
            <w:vAlign w:val="center"/>
          </w:tcPr>
          <w:p>
            <w:pPr>
              <w:adjustRightInd w:val="0"/>
              <w:snapToGrid w:val="0"/>
              <w:jc w:val="center"/>
              <w:rPr>
                <w:rFonts w:ascii="宋体" w:hAnsi="宋体"/>
                <w:b/>
              </w:rPr>
            </w:pPr>
            <w:r>
              <w:rPr>
                <w:rFonts w:hint="eastAsia" w:ascii="宋体" w:hAnsi="宋体"/>
                <w:b/>
              </w:rPr>
              <w:t>资格标准</w:t>
            </w:r>
          </w:p>
        </w:tc>
        <w:tc>
          <w:tcPr>
            <w:tcW w:w="1670" w:type="dxa"/>
            <w:tcBorders>
              <w:top w:val="single" w:color="auto" w:sz="2" w:space="0"/>
              <w:left w:val="single" w:color="auto" w:sz="6" w:space="0"/>
              <w:bottom w:val="single" w:color="auto" w:sz="4" w:space="0"/>
              <w:right w:val="single" w:color="auto" w:sz="2" w:space="0"/>
            </w:tcBorders>
            <w:vAlign w:val="center"/>
          </w:tcPr>
          <w:p>
            <w:pPr>
              <w:adjustRightInd w:val="0"/>
              <w:snapToGrid w:val="0"/>
              <w:jc w:val="center"/>
              <w:rPr>
                <w:rFonts w:ascii="宋体" w:hAnsi="宋体"/>
                <w:b/>
              </w:rPr>
            </w:pPr>
            <w:r>
              <w:rPr>
                <w:rFonts w:hint="eastAsia" w:ascii="宋体" w:hAnsi="宋体"/>
                <w:b/>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41" w:hRule="atLeast"/>
          <w:jc w:val="center"/>
        </w:trPr>
        <w:tc>
          <w:tcPr>
            <w:tcW w:w="1603" w:type="dxa"/>
            <w:tcBorders>
              <w:top w:val="single" w:color="auto" w:sz="6" w:space="0"/>
              <w:left w:val="single" w:color="auto" w:sz="2" w:space="0"/>
              <w:bottom w:val="single" w:color="auto" w:sz="4" w:space="0"/>
              <w:right w:val="single" w:color="auto" w:sz="6" w:space="0"/>
            </w:tcBorders>
            <w:vAlign w:val="center"/>
          </w:tcPr>
          <w:p>
            <w:pPr>
              <w:adjustRightInd w:val="0"/>
              <w:snapToGrid w:val="0"/>
              <w:spacing w:line="400" w:lineRule="exact"/>
              <w:jc w:val="center"/>
              <w:rPr>
                <w:rFonts w:ascii="宋体" w:hAnsi="宋体"/>
              </w:rPr>
            </w:pPr>
            <w:r>
              <w:rPr>
                <w:rFonts w:hint="eastAsia" w:ascii="宋体" w:hAnsi="宋体"/>
              </w:rPr>
              <w:t>项目经理</w:t>
            </w:r>
          </w:p>
          <w:p>
            <w:pPr>
              <w:adjustRightInd w:val="0"/>
              <w:snapToGrid w:val="0"/>
              <w:spacing w:line="400" w:lineRule="exact"/>
              <w:ind w:leftChars="-95" w:right="-193" w:rightChars="-92" w:hanging="199" w:hangingChars="95"/>
              <w:jc w:val="center"/>
              <w:rPr>
                <w:rFonts w:ascii="宋体" w:hAnsi="宋体"/>
              </w:rPr>
            </w:pPr>
            <w:r>
              <w:rPr>
                <w:rFonts w:hint="eastAsia" w:ascii="宋体" w:hAnsi="宋体"/>
              </w:rPr>
              <w:t>（兼施工负责人）</w:t>
            </w:r>
          </w:p>
        </w:tc>
        <w:tc>
          <w:tcPr>
            <w:tcW w:w="70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400" w:lineRule="exact"/>
              <w:jc w:val="center"/>
              <w:rPr>
                <w:rFonts w:ascii="宋体" w:hAnsi="宋体"/>
              </w:rPr>
            </w:pPr>
            <w:r>
              <w:rPr>
                <w:rFonts w:hint="eastAsia" w:ascii="宋体" w:hAnsi="宋体"/>
              </w:rPr>
              <w:t>1</w:t>
            </w:r>
          </w:p>
        </w:tc>
        <w:tc>
          <w:tcPr>
            <w:tcW w:w="5390" w:type="dxa"/>
            <w:tcBorders>
              <w:top w:val="single" w:color="auto" w:sz="6" w:space="0"/>
              <w:left w:val="single" w:color="auto" w:sz="6" w:space="0"/>
              <w:bottom w:val="single" w:color="auto" w:sz="4" w:space="0"/>
              <w:right w:val="single" w:color="auto" w:sz="6" w:space="0"/>
            </w:tcBorders>
            <w:vAlign w:val="center"/>
          </w:tcPr>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工程师；</w:t>
            </w:r>
          </w:p>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具有“公路工程”专业的“一级建造师注册证书”，建造师注册证书的注册单位须与投标人单位名称一致；</w:t>
            </w:r>
          </w:p>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具有交通运输主管部门颁发的有效的《安全生产考核合格证书》（B类），安全生产考核合格证书的登记单位须与投标人单位名称一致；</w:t>
            </w:r>
          </w:p>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近5年（2018年10月1日至投标截止时间，以工程交工时间为准）担任过1项高速公路（新建或改扩建或养护）工程施工的项目经理（或项目副经理或项目总工）。</w:t>
            </w:r>
          </w:p>
        </w:tc>
        <w:tc>
          <w:tcPr>
            <w:tcW w:w="1670" w:type="dxa"/>
            <w:vMerge w:val="restart"/>
            <w:tcBorders>
              <w:top w:val="single" w:color="auto" w:sz="6" w:space="0"/>
              <w:left w:val="single" w:color="auto" w:sz="6" w:space="0"/>
              <w:bottom w:val="single" w:color="auto" w:sz="6" w:space="0"/>
              <w:right w:val="single" w:color="auto" w:sz="2" w:space="0"/>
            </w:tcBorders>
            <w:vAlign w:val="center"/>
          </w:tcPr>
          <w:p>
            <w:pPr>
              <w:snapToGrid w:val="0"/>
              <w:spacing w:line="340" w:lineRule="exact"/>
              <w:ind w:leftChars="-1" w:hanging="2" w:hangingChars="1"/>
              <w:rPr>
                <w:rFonts w:ascii="宋体" w:hAnsi="宋体"/>
              </w:rPr>
            </w:pPr>
            <w:r>
              <w:rPr>
                <w:rFonts w:hint="eastAsia" w:ascii="宋体" w:hAnsi="宋体"/>
                <w:sz w:val="22"/>
                <w:szCs w:val="22"/>
              </w:rPr>
              <w:t>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603" w:type="dxa"/>
            <w:tcBorders>
              <w:top w:val="single" w:color="auto" w:sz="6" w:space="0"/>
              <w:left w:val="single" w:color="auto" w:sz="2" w:space="0"/>
              <w:bottom w:val="single" w:color="auto" w:sz="4" w:space="0"/>
              <w:right w:val="single" w:color="auto" w:sz="6" w:space="0"/>
            </w:tcBorders>
            <w:vAlign w:val="center"/>
          </w:tcPr>
          <w:p>
            <w:pPr>
              <w:spacing w:line="400" w:lineRule="exact"/>
              <w:jc w:val="center"/>
              <w:rPr>
                <w:rFonts w:ascii="宋体" w:hAnsi="宋体"/>
              </w:rPr>
            </w:pPr>
            <w:r>
              <w:rPr>
                <w:rFonts w:hint="eastAsia" w:ascii="宋体" w:hAnsi="宋体"/>
              </w:rPr>
              <w:t>项目总工</w:t>
            </w:r>
          </w:p>
        </w:tc>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rPr>
            </w:pPr>
            <w:r>
              <w:rPr>
                <w:rFonts w:hint="eastAsia" w:ascii="宋体" w:hAnsi="宋体"/>
              </w:rPr>
              <w:t>1</w:t>
            </w:r>
          </w:p>
        </w:tc>
        <w:tc>
          <w:tcPr>
            <w:tcW w:w="5390" w:type="dxa"/>
            <w:tcBorders>
              <w:top w:val="single" w:color="auto" w:sz="6" w:space="0"/>
              <w:left w:val="single" w:color="auto" w:sz="6" w:space="0"/>
              <w:bottom w:val="single" w:color="auto" w:sz="4" w:space="0"/>
              <w:right w:val="single" w:color="auto" w:sz="6" w:space="0"/>
            </w:tcBorders>
            <w:vAlign w:val="center"/>
          </w:tcPr>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高级工程师；</w:t>
            </w:r>
          </w:p>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具有交通运输主管部门颁发的有效的《安全生产考核合格证书》（B类），安全生产考核合格证书的登记单位须与投标人单位名称一致；</w:t>
            </w:r>
          </w:p>
          <w:p>
            <w:pPr>
              <w:snapToGrid w:val="0"/>
              <w:spacing w:after="120" w:afterLines="50" w:line="340" w:lineRule="exact"/>
              <w:ind w:leftChars="-1" w:hanging="2" w:hangingChars="1"/>
              <w:rPr>
                <w:rFonts w:ascii="宋体" w:hAnsi="宋体"/>
                <w:strike/>
                <w:sz w:val="22"/>
                <w:szCs w:val="22"/>
              </w:rPr>
            </w:pPr>
            <w:r>
              <w:rPr>
                <w:rFonts w:hint="eastAsia" w:ascii="宋体" w:hAnsi="宋体"/>
                <w:sz w:val="22"/>
                <w:szCs w:val="22"/>
              </w:rPr>
              <w:t>近5年（2018年10月1日至投标截止时间，以工程交工时间为准）担任过1项高速公路（新建或改扩建或养护）工程施工的项目总工（或项目副总工）。</w:t>
            </w:r>
          </w:p>
        </w:tc>
        <w:tc>
          <w:tcPr>
            <w:tcW w:w="1670" w:type="dxa"/>
            <w:vMerge w:val="continue"/>
            <w:tcBorders>
              <w:top w:val="single" w:color="auto" w:sz="6" w:space="0"/>
              <w:left w:val="single" w:color="auto" w:sz="6" w:space="0"/>
              <w:bottom w:val="single" w:color="auto" w:sz="6" w:space="0"/>
              <w:right w:val="single" w:color="auto" w:sz="2" w:space="0"/>
            </w:tcBorders>
            <w:vAlign w:val="center"/>
          </w:tcPr>
          <w:p>
            <w:pPr>
              <w:widowControl/>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1603" w:type="dxa"/>
            <w:tcBorders>
              <w:top w:val="single" w:color="auto" w:sz="6" w:space="0"/>
              <w:left w:val="single" w:color="auto" w:sz="2" w:space="0"/>
              <w:bottom w:val="single" w:color="auto" w:sz="2" w:space="0"/>
              <w:right w:val="single" w:color="auto" w:sz="6" w:space="0"/>
            </w:tcBorders>
            <w:vAlign w:val="center"/>
          </w:tcPr>
          <w:p>
            <w:pPr>
              <w:spacing w:line="400" w:lineRule="exact"/>
              <w:jc w:val="center"/>
              <w:rPr>
                <w:rFonts w:ascii="宋体" w:hAnsi="宋体"/>
              </w:rPr>
            </w:pPr>
            <w:r>
              <w:rPr>
                <w:rFonts w:hint="eastAsia" w:ascii="宋体" w:hAnsi="宋体"/>
              </w:rPr>
              <w:t>设计负责人</w:t>
            </w:r>
          </w:p>
        </w:tc>
        <w:tc>
          <w:tcPr>
            <w:tcW w:w="709" w:type="dxa"/>
            <w:tcBorders>
              <w:top w:val="single" w:color="auto" w:sz="6" w:space="0"/>
              <w:left w:val="single" w:color="auto" w:sz="6" w:space="0"/>
              <w:bottom w:val="single" w:color="auto" w:sz="2" w:space="0"/>
              <w:right w:val="single" w:color="auto" w:sz="6" w:space="0"/>
            </w:tcBorders>
            <w:vAlign w:val="center"/>
          </w:tcPr>
          <w:p>
            <w:pPr>
              <w:spacing w:line="400" w:lineRule="exact"/>
              <w:jc w:val="center"/>
              <w:rPr>
                <w:rFonts w:ascii="宋体" w:hAnsi="宋体"/>
              </w:rPr>
            </w:pPr>
            <w:r>
              <w:rPr>
                <w:rFonts w:hint="eastAsia" w:ascii="宋体" w:hAnsi="宋体"/>
              </w:rPr>
              <w:t>1</w:t>
            </w:r>
          </w:p>
        </w:tc>
        <w:tc>
          <w:tcPr>
            <w:tcW w:w="5390" w:type="dxa"/>
            <w:tcBorders>
              <w:top w:val="single" w:color="auto" w:sz="6" w:space="0"/>
              <w:left w:val="single" w:color="auto" w:sz="6" w:space="0"/>
              <w:bottom w:val="single" w:color="auto" w:sz="2" w:space="0"/>
              <w:right w:val="single" w:color="auto" w:sz="6" w:space="0"/>
            </w:tcBorders>
            <w:vAlign w:val="center"/>
          </w:tcPr>
          <w:p>
            <w:pPr>
              <w:snapToGrid w:val="0"/>
              <w:spacing w:after="120" w:afterLines="50" w:line="340" w:lineRule="exact"/>
              <w:ind w:leftChars="-1" w:hanging="2" w:hangingChars="1"/>
              <w:rPr>
                <w:rFonts w:ascii="宋体" w:hAnsi="宋体"/>
                <w:sz w:val="22"/>
                <w:szCs w:val="22"/>
              </w:rPr>
            </w:pPr>
            <w:r>
              <w:rPr>
                <w:rFonts w:hint="eastAsia" w:ascii="宋体" w:hAnsi="宋体"/>
                <w:sz w:val="22"/>
                <w:szCs w:val="22"/>
              </w:rPr>
              <w:t>高级工程师；</w:t>
            </w:r>
          </w:p>
          <w:p>
            <w:pPr>
              <w:snapToGrid w:val="0"/>
              <w:spacing w:after="120" w:afterLines="50" w:line="340" w:lineRule="exact"/>
              <w:ind w:leftChars="-1" w:hanging="2" w:hangingChars="1"/>
            </w:pPr>
            <w:r>
              <w:rPr>
                <w:rFonts w:hint="eastAsia" w:ascii="宋体" w:hAnsi="宋体"/>
                <w:sz w:val="22"/>
                <w:szCs w:val="22"/>
              </w:rPr>
              <w:t>近5年（2018年10月1日至投标截止时间，以施工图设计批复时间为准)担任过1项高速公路（新建或改扩建或养护）工程设计项目的项目负责人或设计负责人。</w:t>
            </w:r>
          </w:p>
        </w:tc>
        <w:tc>
          <w:tcPr>
            <w:tcW w:w="1670" w:type="dxa"/>
            <w:tcBorders>
              <w:top w:val="single" w:color="auto" w:sz="4" w:space="0"/>
              <w:left w:val="single" w:color="auto" w:sz="6" w:space="0"/>
              <w:bottom w:val="single" w:color="auto" w:sz="2" w:space="0"/>
              <w:right w:val="single" w:color="auto" w:sz="2" w:space="0"/>
            </w:tcBorders>
            <w:vAlign w:val="center"/>
          </w:tcPr>
          <w:p>
            <w:pPr>
              <w:snapToGrid w:val="0"/>
              <w:spacing w:line="340" w:lineRule="exact"/>
              <w:ind w:leftChars="-1" w:hanging="2" w:hangingChars="1"/>
              <w:jc w:val="center"/>
              <w:rPr>
                <w:rFonts w:ascii="宋体" w:hAnsi="宋体"/>
              </w:rPr>
            </w:pPr>
            <w:r>
              <w:rPr>
                <w:rFonts w:hint="eastAsia" w:ascii="宋体" w:hAnsi="宋体"/>
                <w:sz w:val="22"/>
                <w:szCs w:val="22"/>
              </w:rPr>
              <w:t>无</w:t>
            </w:r>
          </w:p>
        </w:tc>
      </w:tr>
      <w:bookmarkEnd w:id="2"/>
    </w:tbl>
    <w:p>
      <w:pPr>
        <w:pStyle w:val="2"/>
      </w:pPr>
      <w:r>
        <w:br w:type="page"/>
      </w:r>
    </w:p>
    <w:p>
      <w:pPr>
        <w:pStyle w:val="3"/>
        <w:spacing w:before="0" w:after="0" w:line="312" w:lineRule="auto"/>
        <w:rPr>
          <w:rFonts w:ascii="黑体" w:hAnsi="黑体"/>
          <w:b w:val="0"/>
          <w:bCs w:val="0"/>
          <w:sz w:val="26"/>
          <w:szCs w:val="26"/>
        </w:rPr>
      </w:pPr>
      <w:r>
        <w:rPr>
          <w:rFonts w:hint="eastAsia" w:ascii="黑体" w:hAnsi="黑体"/>
          <w:b w:val="0"/>
          <w:bCs w:val="0"/>
          <w:sz w:val="26"/>
          <w:szCs w:val="26"/>
        </w:rPr>
        <w:t>附件</w:t>
      </w:r>
      <w:r>
        <w:rPr>
          <w:rFonts w:ascii="黑体" w:hAnsi="黑体"/>
          <w:b w:val="0"/>
          <w:bCs w:val="0"/>
          <w:sz w:val="26"/>
          <w:szCs w:val="26"/>
        </w:rPr>
        <w:t>2</w:t>
      </w:r>
      <w:r>
        <w:rPr>
          <w:rFonts w:hint="eastAsia" w:ascii="黑体" w:hAnsi="黑体"/>
          <w:b w:val="0"/>
          <w:bCs w:val="0"/>
          <w:sz w:val="26"/>
          <w:szCs w:val="26"/>
        </w:rPr>
        <w:t>：评标办法</w:t>
      </w:r>
    </w:p>
    <w:p>
      <w:pPr>
        <w:pStyle w:val="2"/>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评标办法（综合评估法）</w:t>
      </w:r>
    </w:p>
    <w:p>
      <w:pPr>
        <w:pStyle w:val="2"/>
        <w:snapToGrid w:val="0"/>
        <w:spacing w:after="0"/>
        <w:rPr>
          <w:rFonts w:asciiTheme="minorEastAsia" w:hAnsiTheme="minorEastAsia" w:eastAsiaTheme="minorEastAsia"/>
          <w:b/>
          <w:sz w:val="24"/>
        </w:rPr>
      </w:pPr>
      <w:bookmarkStart w:id="4" w:name="_Hlk134627998"/>
      <w:bookmarkStart w:id="5" w:name="_Hlk147958270"/>
      <w:r>
        <w:rPr>
          <w:rFonts w:asciiTheme="minorEastAsia" w:hAnsiTheme="minorEastAsia" w:eastAsiaTheme="minorEastAsia"/>
          <w:b/>
          <w:sz w:val="24"/>
        </w:rPr>
        <w:t>评标办法前附表</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124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条款名称</w:t>
            </w:r>
          </w:p>
        </w:tc>
        <w:tc>
          <w:tcPr>
            <w:tcW w:w="710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评标办法</w:t>
            </w:r>
          </w:p>
        </w:tc>
        <w:tc>
          <w:tcPr>
            <w:tcW w:w="7106" w:type="dxa"/>
            <w:vAlign w:val="center"/>
          </w:tcPr>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本次评标采用综合评估法。评标委员会对满足招标文件实质性要求的投标文件，按照本章第 2.2 款规定的评分标准进行打分，并按综合得分由高到低顺序推荐1～3名中标候选人。</w:t>
            </w:r>
            <w:r>
              <w:rPr>
                <w:rFonts w:hint="eastAsia" w:asciiTheme="minorEastAsia" w:hAnsiTheme="minorEastAsia" w:eastAsiaTheme="minorEastAsia"/>
                <w:szCs w:val="21"/>
              </w:rPr>
              <w:t>综合评分相等时，评标委员会依次按照以下优先顺序推荐中标候选人：</w:t>
            </w:r>
          </w:p>
          <w:p>
            <w:pPr>
              <w:spacing w:line="288" w:lineRule="auto"/>
              <w:ind w:firstLine="117" w:firstLineChars="56"/>
              <w:rPr>
                <w:rFonts w:asciiTheme="minorEastAsia" w:hAnsiTheme="minorEastAsia" w:eastAsiaTheme="minorEastAsia"/>
                <w:szCs w:val="21"/>
              </w:rPr>
            </w:pPr>
            <w:r>
              <w:rPr>
                <w:rFonts w:hint="eastAsia" w:asciiTheme="minorEastAsia" w:hAnsiTheme="minorEastAsia" w:eastAsiaTheme="minorEastAsia"/>
                <w:szCs w:val="21"/>
              </w:rPr>
              <w:t>（1）评标价低的投标人优先；</w:t>
            </w:r>
          </w:p>
          <w:p>
            <w:pPr>
              <w:spacing w:line="288" w:lineRule="auto"/>
              <w:ind w:firstLine="117" w:firstLineChars="56"/>
            </w:pPr>
            <w:r>
              <w:rPr>
                <w:rFonts w:hint="eastAsia" w:asciiTheme="minorEastAsia" w:hAnsiTheme="minorEastAsia" w:eastAsiaTheme="minorEastAsia"/>
                <w:szCs w:val="21"/>
              </w:rPr>
              <w:t>（2）承包人建议书和承包人实施方案合计得分较高的投标人优先；</w:t>
            </w:r>
          </w:p>
          <w:p>
            <w:pPr>
              <w:spacing w:line="288" w:lineRule="auto"/>
              <w:ind w:firstLine="117" w:firstLineChars="56"/>
              <w:rPr>
                <w:rFonts w:asciiTheme="minorEastAsia" w:hAnsiTheme="minorEastAsia" w:eastAsiaTheme="minorEastAsia"/>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2.1.1</w:t>
            </w:r>
          </w:p>
          <w:p>
            <w:pPr>
              <w:jc w:val="center"/>
              <w:rPr>
                <w:rFonts w:cs="宋体" w:asciiTheme="minorEastAsia" w:hAnsiTheme="minorEastAsia" w:eastAsiaTheme="minorEastAsia"/>
                <w:szCs w:val="21"/>
              </w:rPr>
            </w:pPr>
            <w:r>
              <w:rPr>
                <w:rFonts w:cs="宋体" w:asciiTheme="minorEastAsia" w:hAnsiTheme="minorEastAsia" w:eastAsiaTheme="minorEastAsia"/>
                <w:szCs w:val="21"/>
              </w:rPr>
              <w:t>2.1.3</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形式评审与响应性评审标准</w:t>
            </w:r>
          </w:p>
        </w:tc>
        <w:tc>
          <w:tcPr>
            <w:tcW w:w="7106" w:type="dxa"/>
          </w:tcPr>
          <w:p>
            <w:pPr>
              <w:tabs>
                <w:tab w:val="left" w:pos="3060"/>
              </w:tabs>
              <w:snapToGrid w:val="0"/>
              <w:spacing w:line="280" w:lineRule="exact"/>
              <w:rPr>
                <w:rFonts w:ascii="宋体" w:hAnsi="宋体"/>
                <w:b/>
                <w:szCs w:val="21"/>
              </w:rPr>
            </w:pPr>
            <w:r>
              <w:rPr>
                <w:rFonts w:hint="eastAsia" w:ascii="宋体" w:hAnsi="宋体"/>
                <w:b/>
                <w:szCs w:val="21"/>
              </w:rPr>
              <w:t>第一个信封（商务文件）评审标准:</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（1）投标文件按照招标文件规定的格式、内容填写，字迹清晰可辨：</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a.投标函按招标文件规定填报了项目名称、补遗书编号（如有）、工程质量、安全目标、计划工期、项目经理（兼施工负责人）、项目总工和设计负责人信息；</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b.投标函附录的所有数据均符合招标文件规定；</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c.投标文件组成齐全完整，内容均按规定填写。</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（2）投标文件上法定代表人或其委托代理人的签名章、投标人的单位章盖章齐全，符合招标文件规定。</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（3）投标人按照招标文件的规定提供了投标保证金。</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a．投标保证金金额符合招标文件规定的金额，且投标保证金有效期不少于投标有效期；</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b.若投标保证金采电汇或转账形式提交，投标人应在递交投标文件截止时间之前，将投标保证金由投标人的基本账户转入招标人指定账户；</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c.若投标保证金采用保函形式提交，开具的保函满足招标文件要求。</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d.若投标保证金采用保证保险形式提交，开具的保证保险满足招标文件要求。</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投标人法定代表人授权委托代理人签署投标文件的，</w:t>
            </w:r>
            <w:r>
              <w:rPr>
                <w:rFonts w:asciiTheme="minorEastAsia" w:hAnsiTheme="minorEastAsia" w:eastAsiaTheme="minorEastAsia"/>
                <w:szCs w:val="21"/>
              </w:rPr>
              <w:t>须提交授权</w:t>
            </w:r>
            <w:r>
              <w:rPr>
                <w:rFonts w:hint="eastAsia" w:asciiTheme="minorEastAsia" w:hAnsiTheme="minorEastAsia" w:eastAsiaTheme="minorEastAsia"/>
                <w:szCs w:val="21"/>
              </w:rPr>
              <w:t>委托书，授权委托书符合招标文件规定</w:t>
            </w:r>
            <w:r>
              <w:rPr>
                <w:rFonts w:hint="eastAsia" w:cs="宋体" w:asciiTheme="minorEastAsia" w:hAnsiTheme="minorEastAsia" w:eastAsiaTheme="minorEastAsia"/>
                <w:szCs w:val="21"/>
              </w:rPr>
              <w:t>。</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asciiTheme="minorEastAsia" w:hAnsiTheme="minorEastAsia" w:eastAsiaTheme="minorEastAsia"/>
                <w:szCs w:val="21"/>
              </w:rPr>
              <w:t>投标人法定代表人亲自签署投标文件的，提供了法定代表人身份证明，法定代表人身份证明符合招标文件规定</w:t>
            </w:r>
            <w:r>
              <w:rPr>
                <w:rFonts w:hint="eastAsia" w:cs="宋体" w:asciiTheme="minorEastAsia" w:hAnsiTheme="minorEastAsia" w:eastAsiaTheme="minorEastAsia"/>
                <w:szCs w:val="21"/>
              </w:rPr>
              <w:t>。</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（6）投标人以联合体形式投标时，联合体满足招标文件的要求：</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投标人按照招标文件提供的格式和要求签订了联合体协议书，明确各方承担连带责任，并明确了联合体牵头人。</w:t>
            </w:r>
          </w:p>
          <w:p>
            <w:pPr>
              <w:spacing w:line="288" w:lineRule="auto"/>
              <w:ind w:right="113"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ascii="宋体" w:hAnsi="宋体"/>
                <w:szCs w:val="21"/>
              </w:rPr>
              <w:t>投标人未对本项目提出分包计划</w:t>
            </w:r>
            <w:r>
              <w:rPr>
                <w:rFonts w:hint="eastAsia" w:ascii="宋体" w:hAnsi="宋体"/>
                <w:szCs w:val="21"/>
              </w:rPr>
              <w:t>。</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（8）同一投标人未提交两个以上不同的投标文件。</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（9）投标文件第一个信封（商务文件）中未出现有关投标报价的内容。</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（10）投标文件载明的招标项目完成期限符合招标文件规定。</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（11）投标文件对招标文件的实质性要求和条件作出响应。</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（12）权利义务符合招标文件规定：</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a.投标人应接受招标文件规定的风险划分原则，未提出新的风险划分办法；</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b.投标人未增加发包人的责任范围，或减少投标人义务；</w:t>
            </w:r>
          </w:p>
          <w:p>
            <w:pPr>
              <w:spacing w:line="288" w:lineRule="auto"/>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c.投标人未提出不同的支付办法；</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d.投标人对合同纠纷、事故处理办法未提出异议；</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e.投标人在投标活动中无欺诈行为；</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f.投标人未对合同条款有重要保留。</w:t>
            </w:r>
          </w:p>
          <w:p>
            <w:pPr>
              <w:pStyle w:val="2"/>
            </w:pPr>
          </w:p>
          <w:p>
            <w:pPr>
              <w:tabs>
                <w:tab w:val="left" w:pos="3060"/>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第二个信封（报价文件）评审标准：</w:t>
            </w:r>
          </w:p>
          <w:p>
            <w:pPr>
              <w:spacing w:line="288" w:lineRule="auto"/>
              <w:ind w:firstLine="386" w:firstLineChars="184"/>
              <w:jc w:val="left"/>
              <w:rPr>
                <w:rFonts w:asciiTheme="minorEastAsia" w:hAnsiTheme="minorEastAsia" w:eastAsiaTheme="minorEastAsia"/>
                <w:bCs/>
                <w:szCs w:val="21"/>
              </w:rPr>
            </w:pPr>
            <w:r>
              <w:rPr>
                <w:rFonts w:hint="eastAsia" w:cs="宋体" w:asciiTheme="minorEastAsia" w:hAnsiTheme="minorEastAsia" w:eastAsiaTheme="minorEastAsia"/>
                <w:szCs w:val="21"/>
              </w:rPr>
              <w:t>（1）投标文件按照招标文件规定的格式、内容填写，字迹清晰可辨：</w:t>
            </w:r>
          </w:p>
          <w:p>
            <w:pPr>
              <w:spacing w:line="288" w:lineRule="auto"/>
              <w:ind w:firstLine="386" w:firstLineChars="184"/>
              <w:jc w:val="left"/>
              <w:rPr>
                <w:rFonts w:ascii="宋体" w:hAnsi="宋体"/>
                <w:bCs/>
              </w:rPr>
            </w:pPr>
            <w:r>
              <w:rPr>
                <w:rFonts w:hint="eastAsia" w:ascii="宋体" w:hAnsi="宋体"/>
                <w:bCs/>
              </w:rPr>
              <w:t>a.投标函按招标文件规定填报了项目名称、补遗书编号（如有）、投标价（包括大写金额和小写金额）；</w:t>
            </w:r>
          </w:p>
          <w:p>
            <w:pPr>
              <w:spacing w:line="288" w:lineRule="auto"/>
              <w:ind w:firstLine="386" w:firstLineChars="184"/>
              <w:jc w:val="left"/>
              <w:rPr>
                <w:rFonts w:eastAsiaTheme="minorEastAsia"/>
              </w:rPr>
            </w:pPr>
            <w:r>
              <w:rPr>
                <w:rFonts w:hint="eastAsia" w:ascii="宋体" w:hAnsi="宋体"/>
                <w:bCs/>
              </w:rPr>
              <w:t>b.</w:t>
            </w:r>
            <w:r>
              <w:rPr>
                <w:rFonts w:hint="eastAsia" w:eastAsiaTheme="minorEastAsia"/>
              </w:rPr>
              <w:t>未对价格清单说明进行实质性修改。</w:t>
            </w:r>
          </w:p>
          <w:p>
            <w:pPr>
              <w:spacing w:line="288" w:lineRule="auto"/>
              <w:ind w:firstLine="386" w:firstLineChars="184"/>
              <w:jc w:val="left"/>
              <w:rPr>
                <w:rFonts w:ascii="宋体" w:hAnsi="宋体"/>
                <w:bCs/>
              </w:rPr>
            </w:pPr>
            <w:r>
              <w:rPr>
                <w:rFonts w:hint="eastAsia" w:ascii="宋体" w:hAnsi="宋体"/>
                <w:bCs/>
              </w:rPr>
              <w:t>c.投标</w:t>
            </w:r>
            <w:r>
              <w:rPr>
                <w:rFonts w:hint="eastAsia" w:ascii="宋体" w:hAnsi="宋体"/>
              </w:rPr>
              <w:t>文件</w:t>
            </w:r>
            <w:r>
              <w:rPr>
                <w:rFonts w:hint="eastAsia" w:ascii="宋体" w:hAnsi="宋体"/>
                <w:bCs/>
              </w:rPr>
              <w:t>组成齐全完整，内容均按规定填写。</w:t>
            </w:r>
          </w:p>
          <w:p>
            <w:pPr>
              <w:spacing w:line="288" w:lineRule="auto"/>
              <w:ind w:firstLine="386" w:firstLineChars="184"/>
              <w:jc w:val="left"/>
              <w:rPr>
                <w:rFonts w:ascii="宋体" w:hAnsi="宋体"/>
                <w:bCs/>
              </w:rPr>
            </w:pPr>
            <w:r>
              <w:rPr>
                <w:rFonts w:hint="eastAsia" w:ascii="宋体" w:hAnsi="宋体"/>
                <w:bCs/>
              </w:rPr>
              <w:t>（2）</w:t>
            </w:r>
            <w:r>
              <w:rPr>
                <w:rFonts w:hint="eastAsia" w:ascii="宋体" w:hAnsi="宋体"/>
              </w:rPr>
              <w:t>投标文件上法定代表人或其委托代理人的签名章、投标人的单位章盖章齐全，符合招标文件规定</w:t>
            </w:r>
            <w:r>
              <w:rPr>
                <w:rFonts w:hint="eastAsia" w:ascii="宋体" w:hAnsi="宋体"/>
                <w:bCs/>
              </w:rPr>
              <w:t>。</w:t>
            </w:r>
          </w:p>
          <w:p>
            <w:pPr>
              <w:spacing w:line="288" w:lineRule="auto"/>
              <w:ind w:firstLine="386" w:firstLineChars="184"/>
              <w:jc w:val="left"/>
              <w:rPr>
                <w:rFonts w:ascii="宋体" w:hAnsi="宋体"/>
                <w:bCs/>
              </w:rPr>
            </w:pPr>
            <w:r>
              <w:rPr>
                <w:rFonts w:hint="eastAsia" w:ascii="宋体" w:hAnsi="宋体"/>
                <w:bCs/>
              </w:rPr>
              <w:t>（3）投标函中的投标报价未超过招标文件设定的最高投标限价，</w:t>
            </w:r>
            <w:r>
              <w:rPr>
                <w:rFonts w:hint="eastAsia" w:asciiTheme="minorEastAsia" w:hAnsiTheme="minorEastAsia" w:eastAsiaTheme="minorEastAsia"/>
                <w:szCs w:val="21"/>
              </w:rPr>
              <w:t>价格清单中</w:t>
            </w:r>
            <w:r>
              <w:rPr>
                <w:rFonts w:hint="eastAsia" w:ascii="宋体" w:hAnsi="宋体"/>
                <w:bCs/>
              </w:rPr>
              <w:t>各分项报价均未超过招标文件设定的最高投标限价。</w:t>
            </w:r>
          </w:p>
          <w:p>
            <w:pPr>
              <w:spacing w:line="288" w:lineRule="auto"/>
              <w:ind w:firstLine="386" w:firstLineChars="184"/>
              <w:jc w:val="left"/>
              <w:rPr>
                <w:rFonts w:ascii="宋体" w:hAnsi="宋体"/>
                <w:bCs/>
              </w:rPr>
            </w:pPr>
            <w:r>
              <w:rPr>
                <w:rFonts w:hint="eastAsia" w:ascii="宋体" w:hAnsi="宋体"/>
                <w:bCs/>
              </w:rPr>
              <w:t>（4）投标</w:t>
            </w:r>
            <w:r>
              <w:rPr>
                <w:rFonts w:hint="eastAsia" w:ascii="宋体" w:hAnsi="宋体"/>
              </w:rPr>
              <w:t>报价</w:t>
            </w:r>
            <w:r>
              <w:rPr>
                <w:rFonts w:hint="eastAsia" w:ascii="宋体" w:hAnsi="宋体"/>
                <w:bCs/>
              </w:rPr>
              <w:t>中报价的大写金额能够确定具体数值。</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（5）同一</w:t>
            </w:r>
            <w:r>
              <w:rPr>
                <w:rFonts w:hint="eastAsia" w:asciiTheme="minorEastAsia" w:hAnsiTheme="minorEastAsia" w:eastAsiaTheme="minorEastAsia"/>
                <w:szCs w:val="21"/>
              </w:rPr>
              <w:t>投标人</w:t>
            </w:r>
            <w:r>
              <w:rPr>
                <w:rFonts w:hint="eastAsia" w:asciiTheme="minorEastAsia" w:hAnsiTheme="minorEastAsia" w:eastAsiaTheme="minorEastAsia"/>
                <w:bCs/>
                <w:szCs w:val="21"/>
              </w:rPr>
              <w:t>未提交两个以上不同的投标报价。</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（6）投标人未提交调价函。</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7</w:t>
            </w:r>
            <w:r>
              <w:rPr>
                <w:rFonts w:hint="eastAsia" w:asciiTheme="minorEastAsia" w:hAnsiTheme="minorEastAsia" w:eastAsiaTheme="minorEastAsia"/>
                <w:bCs/>
                <w:szCs w:val="21"/>
              </w:rPr>
              <w:t>）</w:t>
            </w:r>
            <w:r>
              <w:rPr>
                <w:rFonts w:hint="eastAsia" w:asciiTheme="minorEastAsia" w:hAnsiTheme="minorEastAsia" w:eastAsiaTheme="minorEastAsia"/>
                <w:szCs w:val="21"/>
              </w:rPr>
              <w:t>价格清单中的投标报价和投标函大写金额报价一致</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2.1.2</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资格评审标准</w:t>
            </w:r>
          </w:p>
        </w:tc>
        <w:tc>
          <w:tcPr>
            <w:tcW w:w="7106" w:type="dxa"/>
            <w:vAlign w:val="center"/>
          </w:tcPr>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szCs w:val="21"/>
              </w:rPr>
              <w:t>（1）投标</w:t>
            </w:r>
            <w:r>
              <w:rPr>
                <w:rFonts w:hint="eastAsia" w:asciiTheme="minorEastAsia" w:hAnsiTheme="minorEastAsia" w:eastAsiaTheme="minorEastAsia"/>
                <w:bCs/>
                <w:szCs w:val="21"/>
              </w:rPr>
              <w:t>人具备有效的营业执照、资质证书、安全生产许可证和基本账户开户许可证（或基本存款账户信息）。</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（2）投标人的资质等级符合招标文件规定。</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（3）投标人的财务状况符合招标文件规定。</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（4）投标人的业绩符合招标文件规定。</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（5）投标人的信誉符合招标文件规定。</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（6）投标人的主要人员符合招标文件规定。</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（7）投标人不存在第二章“投标人须知”第 1.4.3 项、第 1.4.4项、第 1.4.5 项规定的任何一种情形。</w:t>
            </w:r>
          </w:p>
          <w:p>
            <w:pPr>
              <w:spacing w:line="286" w:lineRule="exact"/>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（8）投标人符合第二章“投标人须知”第1.4.</w:t>
            </w:r>
            <w:r>
              <w:rPr>
                <w:rFonts w:asciiTheme="minorEastAsia" w:hAnsiTheme="minorEastAsia" w:eastAsiaTheme="minorEastAsia"/>
                <w:bCs/>
                <w:szCs w:val="21"/>
              </w:rPr>
              <w:t>6</w:t>
            </w:r>
            <w:r>
              <w:rPr>
                <w:rFonts w:hint="eastAsia" w:asciiTheme="minorEastAsia" w:hAnsiTheme="minorEastAsia" w:eastAsiaTheme="minorEastAsia"/>
                <w:bCs/>
                <w:szCs w:val="21"/>
              </w:rPr>
              <w:t>项规定。</w:t>
            </w:r>
          </w:p>
          <w:p>
            <w:pPr>
              <w:spacing w:line="286" w:lineRule="exact"/>
              <w:ind w:firstLine="386" w:firstLineChars="184"/>
              <w:jc w:val="left"/>
            </w:pPr>
            <w:r>
              <w:rPr>
                <w:rFonts w:hint="eastAsia" w:asciiTheme="minorEastAsia" w:hAnsiTheme="minorEastAsia" w:eastAsiaTheme="minorEastAsia"/>
                <w:bCs/>
                <w:szCs w:val="21"/>
              </w:rPr>
              <w:t>（9）</w:t>
            </w:r>
            <w:r>
              <w:rPr>
                <w:rFonts w:hint="eastAsia" w:ascii="宋体" w:hAnsi="宋体"/>
                <w:bCs/>
                <w:szCs w:val="21"/>
              </w:rPr>
              <w:t>以联合体形式参与投标的，联合体各方均未再以自己名义单独或参加其他联合体在本项目的投标</w:t>
            </w:r>
            <w:r>
              <w:rPr>
                <w:rFonts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2.2.1</w:t>
            </w:r>
          </w:p>
        </w:tc>
        <w:tc>
          <w:tcPr>
            <w:tcW w:w="1246"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rPr>
              <w:t>分值构成（总分值100分）</w:t>
            </w:r>
          </w:p>
        </w:tc>
        <w:tc>
          <w:tcPr>
            <w:tcW w:w="7106" w:type="dxa"/>
            <w:vAlign w:val="center"/>
          </w:tcPr>
          <w:p>
            <w:pPr>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本款修改为：</w:t>
            </w:r>
          </w:p>
          <w:p>
            <w:pPr>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第一个信封（商务及技术文件）评分分值构成：</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）承包人建议书：</w:t>
            </w:r>
            <w:r>
              <w:rPr>
                <w:rFonts w:asciiTheme="minorEastAsia" w:hAnsiTheme="minorEastAsia" w:eastAsiaTheme="minorEastAsia"/>
                <w:szCs w:val="21"/>
              </w:rPr>
              <w:t>25</w:t>
            </w:r>
            <w:r>
              <w:rPr>
                <w:rFonts w:hint="eastAsia" w:asciiTheme="minorEastAsia" w:hAnsiTheme="minorEastAsia" w:eastAsiaTheme="minorEastAsia"/>
                <w:szCs w:val="21"/>
              </w:rPr>
              <w:t>分</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（2）承包人实施方案：</w:t>
            </w:r>
            <w:r>
              <w:rPr>
                <w:rFonts w:asciiTheme="minorEastAsia" w:hAnsiTheme="minorEastAsia" w:eastAsiaTheme="minorEastAsia"/>
                <w:szCs w:val="21"/>
              </w:rPr>
              <w:t>20</w:t>
            </w:r>
            <w:r>
              <w:rPr>
                <w:rFonts w:hint="eastAsia" w:asciiTheme="minorEastAsia" w:hAnsiTheme="minorEastAsia" w:eastAsiaTheme="minorEastAsia"/>
                <w:szCs w:val="21"/>
              </w:rPr>
              <w:t>分</w:t>
            </w:r>
          </w:p>
          <w:p>
            <w:pPr>
              <w:spacing w:line="288" w:lineRule="auto"/>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（3）资信业绩部分：</w:t>
            </w:r>
            <w:r>
              <w:rPr>
                <w:rFonts w:asciiTheme="minorEastAsia" w:hAnsiTheme="minorEastAsia" w:eastAsiaTheme="minorEastAsia"/>
                <w:szCs w:val="21"/>
              </w:rPr>
              <w:t>5</w:t>
            </w:r>
            <w:r>
              <w:rPr>
                <w:rFonts w:hint="eastAsia" w:asciiTheme="minorEastAsia" w:hAnsiTheme="minorEastAsia" w:eastAsiaTheme="minorEastAsia"/>
                <w:szCs w:val="21"/>
              </w:rPr>
              <w:t>分</w:t>
            </w:r>
          </w:p>
          <w:p>
            <w:pPr>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第二个信封（报价文件）评分分值构成：</w:t>
            </w:r>
          </w:p>
          <w:p>
            <w:pPr>
              <w:spacing w:line="288" w:lineRule="auto"/>
              <w:ind w:firstLine="386" w:firstLineChars="184"/>
              <w:jc w:val="left"/>
              <w:rPr>
                <w:rFonts w:asciiTheme="minorEastAsia" w:hAnsiTheme="minorEastAsia" w:eastAsiaTheme="minorEastAsia"/>
              </w:rPr>
            </w:pPr>
            <w:r>
              <w:rPr>
                <w:rFonts w:hint="eastAsia" w:asciiTheme="minorEastAsia" w:hAnsiTheme="minorEastAsia" w:eastAsiaTheme="minorEastAsia"/>
                <w:szCs w:val="21"/>
              </w:rPr>
              <w:t>（4）评标价</w:t>
            </w: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.2.2</w:t>
            </w:r>
          </w:p>
        </w:tc>
        <w:tc>
          <w:tcPr>
            <w:tcW w:w="1246" w:type="dxa"/>
            <w:vAlign w:val="center"/>
          </w:tcPr>
          <w:p>
            <w:pPr>
              <w:adjustRightInd w:val="0"/>
              <w:snapToGrid w:val="0"/>
              <w:spacing w:line="276" w:lineRule="auto"/>
              <w:jc w:val="center"/>
              <w:rPr>
                <w:rFonts w:asciiTheme="minorEastAsia" w:hAnsiTheme="minorEastAsia" w:eastAsiaTheme="minorEastAsia"/>
              </w:rPr>
            </w:pPr>
            <w:r>
              <w:rPr>
                <w:rFonts w:hint="eastAsia" w:asciiTheme="minorEastAsia" w:hAnsiTheme="minorEastAsia" w:eastAsiaTheme="minorEastAsia"/>
              </w:rPr>
              <w:t>评标基准价计算方法</w:t>
            </w:r>
          </w:p>
        </w:tc>
        <w:tc>
          <w:tcPr>
            <w:tcW w:w="7106" w:type="dxa"/>
            <w:vAlign w:val="center"/>
          </w:tcPr>
          <w:p>
            <w:pPr>
              <w:adjustRightInd w:val="0"/>
              <w:snapToGrid w:val="0"/>
              <w:spacing w:line="360" w:lineRule="exact"/>
              <w:rPr>
                <w:rFonts w:ascii="宋体" w:hAnsi="宋体"/>
              </w:rPr>
            </w:pPr>
            <w:r>
              <w:rPr>
                <w:rFonts w:hint="eastAsia" w:ascii="宋体" w:hAnsi="宋体"/>
              </w:rPr>
              <w:t>评标基准价的计算：</w:t>
            </w:r>
          </w:p>
          <w:p>
            <w:pPr>
              <w:snapToGrid w:val="0"/>
              <w:spacing w:line="360" w:lineRule="exact"/>
              <w:ind w:firstLine="420" w:firstLineChars="200"/>
              <w:rPr>
                <w:rFonts w:ascii="宋体" w:hAnsi="宋体"/>
              </w:rPr>
            </w:pPr>
            <w:r>
              <w:rPr>
                <w:rFonts w:ascii="宋体" w:hAnsi="宋体"/>
                <w:szCs w:val="21"/>
              </w:rPr>
              <w:t>在第二个信封开标现场，招标人将</w:t>
            </w:r>
            <w:r>
              <w:rPr>
                <w:rFonts w:hint="eastAsia" w:ascii="宋体" w:hAnsi="宋体"/>
              </w:rPr>
              <w:t>当场计算并宣布评标基准价。</w:t>
            </w:r>
          </w:p>
          <w:p>
            <w:pPr>
              <w:snapToGrid w:val="0"/>
              <w:spacing w:line="360" w:lineRule="exact"/>
              <w:ind w:firstLine="420" w:firstLineChars="200"/>
              <w:rPr>
                <w:rFonts w:ascii="宋体" w:hAnsi="宋体"/>
              </w:rPr>
            </w:pPr>
            <w:r>
              <w:rPr>
                <w:rFonts w:hint="eastAsia" w:ascii="宋体" w:hAnsi="宋体"/>
              </w:rPr>
              <w:t>（1）评标价的确定：评标价=投标函文字报价</w:t>
            </w:r>
          </w:p>
          <w:p>
            <w:pPr>
              <w:snapToGrid w:val="0"/>
              <w:spacing w:line="360" w:lineRule="exact"/>
              <w:ind w:firstLine="420" w:firstLineChars="200"/>
              <w:rPr>
                <w:rFonts w:ascii="宋体" w:hAnsi="宋体"/>
              </w:rPr>
            </w:pPr>
            <w:r>
              <w:rPr>
                <w:rFonts w:hint="eastAsia" w:ascii="宋体" w:hAnsi="宋体"/>
              </w:rPr>
              <w:t>（2）评标价</w:t>
            </w:r>
            <w:r>
              <w:rPr>
                <w:rFonts w:hint="eastAsia" w:ascii="宋体" w:hAnsi="宋体"/>
                <w:szCs w:val="21"/>
              </w:rPr>
              <w:t>平均值</w:t>
            </w:r>
            <w:r>
              <w:rPr>
                <w:rFonts w:hint="eastAsia" w:ascii="宋体" w:hAnsi="宋体"/>
              </w:rPr>
              <w:t>的计算</w:t>
            </w:r>
          </w:p>
          <w:p>
            <w:pPr>
              <w:snapToGrid w:val="0"/>
              <w:spacing w:line="360" w:lineRule="exact"/>
              <w:ind w:firstLine="420" w:firstLineChars="200"/>
              <w:rPr>
                <w:rStyle w:val="7"/>
                <w:rFonts w:ascii="宋体" w:hAnsi="宋体"/>
                <w:szCs w:val="21"/>
              </w:rPr>
            </w:pPr>
            <w:r>
              <w:rPr>
                <w:rStyle w:val="7"/>
                <w:rFonts w:hint="eastAsia" w:ascii="宋体" w:hAnsi="宋体"/>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w:t>
            </w:r>
          </w:p>
          <w:p>
            <w:pPr>
              <w:snapToGrid w:val="0"/>
              <w:spacing w:line="360" w:lineRule="exact"/>
              <w:ind w:firstLine="420" w:firstLineChars="200"/>
              <w:rPr>
                <w:rFonts w:ascii="宋体" w:hAnsi="宋体"/>
                <w:szCs w:val="21"/>
              </w:rPr>
            </w:pPr>
            <w:r>
              <w:rPr>
                <w:rStyle w:val="7"/>
                <w:rFonts w:hint="eastAsia" w:ascii="宋体" w:hAnsi="宋体"/>
                <w:szCs w:val="21"/>
              </w:rPr>
              <w:t>注：N为评标价的个数；n1、n2 的取值：当 N﹤6 时，n1、n2 均取0；当6≤N＜10时，n1、n2均取1；当10≤N＜20时，n1、n2均取2；当20≤N＜30，n1、n2均取3；当30≤N≤40，n1、n2均取4；当40≤N≤50，n1、n2均取5；当N≥50, n1、n2均取6。</w:t>
            </w:r>
          </w:p>
          <w:p>
            <w:pPr>
              <w:snapToGrid w:val="0"/>
              <w:spacing w:line="360" w:lineRule="exact"/>
              <w:ind w:firstLine="420" w:firstLineChars="200"/>
              <w:rPr>
                <w:rFonts w:ascii="宋体" w:hAnsi="宋体"/>
              </w:rPr>
            </w:pPr>
            <w:r>
              <w:rPr>
                <w:rStyle w:val="7"/>
                <w:rFonts w:ascii="宋体" w:hAnsi="宋体"/>
              </w:rPr>
              <w:t>（</w:t>
            </w:r>
            <w:r>
              <w:rPr>
                <w:rStyle w:val="7"/>
                <w:rFonts w:hint="eastAsia" w:ascii="宋体" w:hAnsi="宋体"/>
              </w:rPr>
              <w:t>3</w:t>
            </w:r>
            <w:r>
              <w:rPr>
                <w:rStyle w:val="7"/>
                <w:rFonts w:ascii="宋体" w:hAnsi="宋体"/>
              </w:rPr>
              <w:t>）</w:t>
            </w:r>
            <w:r>
              <w:rPr>
                <w:rStyle w:val="7"/>
                <w:rFonts w:hint="eastAsia" w:ascii="宋体" w:hAnsi="宋体"/>
              </w:rPr>
              <w:t>评标基准价的确定</w:t>
            </w:r>
          </w:p>
          <w:p>
            <w:pPr>
              <w:snapToGrid w:val="0"/>
              <w:spacing w:line="360" w:lineRule="exact"/>
              <w:ind w:firstLine="420" w:firstLineChars="200"/>
              <w:rPr>
                <w:rStyle w:val="7"/>
                <w:rFonts w:ascii="宋体" w:hAnsi="宋体"/>
                <w:szCs w:val="21"/>
              </w:rPr>
            </w:pPr>
            <w:r>
              <w:rPr>
                <w:rStyle w:val="7"/>
                <w:rFonts w:hint="eastAsia" w:ascii="宋体" w:hAnsi="宋体"/>
                <w:szCs w:val="21"/>
              </w:rPr>
              <w:t>将评标价平均值直接作为评标基准价。</w:t>
            </w:r>
          </w:p>
          <w:p>
            <w:pPr>
              <w:snapToGrid w:val="0"/>
              <w:spacing w:line="360" w:lineRule="exact"/>
              <w:ind w:firstLine="420" w:firstLineChars="200"/>
              <w:rPr>
                <w:rStyle w:val="7"/>
                <w:rFonts w:ascii="宋体" w:hAnsi="宋体"/>
                <w:szCs w:val="21"/>
              </w:rPr>
            </w:pPr>
            <w:r>
              <w:rPr>
                <w:rStyle w:val="7"/>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60" w:lineRule="exact"/>
              <w:ind w:firstLine="420" w:firstLineChars="200"/>
              <w:rPr>
                <w:rFonts w:asciiTheme="minorEastAsia" w:hAnsiTheme="minorEastAsia" w:eastAsiaTheme="minorEastAsia"/>
                <w:szCs w:val="21"/>
              </w:rPr>
            </w:pPr>
            <w:r>
              <w:rPr>
                <w:rStyle w:val="7"/>
                <w:rFonts w:hint="eastAsia" w:ascii="宋体" w:hAnsi="宋体"/>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2.2.3</w:t>
            </w:r>
          </w:p>
        </w:tc>
        <w:tc>
          <w:tcPr>
            <w:tcW w:w="1246"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评标价</w:t>
            </w:r>
            <w:r>
              <w:rPr>
                <w:rFonts w:asciiTheme="minorEastAsia" w:hAnsiTheme="minorEastAsia" w:eastAsiaTheme="minorEastAsia"/>
                <w:szCs w:val="21"/>
              </w:rPr>
              <w:t>的偏差率</w:t>
            </w:r>
            <w:r>
              <w:rPr>
                <w:rFonts w:hint="eastAsia" w:asciiTheme="minorEastAsia" w:hAnsiTheme="minorEastAsia" w:eastAsiaTheme="minorEastAsia"/>
                <w:szCs w:val="21"/>
              </w:rPr>
              <w:t>计算公式</w:t>
            </w:r>
          </w:p>
        </w:tc>
        <w:tc>
          <w:tcPr>
            <w:tcW w:w="710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szCs w:val="21"/>
              </w:rPr>
              <w:t>偏差率</w:t>
            </w:r>
            <w:r>
              <w:rPr>
                <w:rFonts w:asciiTheme="minorEastAsia" w:hAnsiTheme="minorEastAsia" w:eastAsiaTheme="minorEastAsia"/>
                <w:szCs w:val="21"/>
              </w:rPr>
              <w:t>=100%×（</w:t>
            </w:r>
            <w:r>
              <w:rPr>
                <w:rFonts w:hint="eastAsia" w:asciiTheme="minorEastAsia" w:hAnsiTheme="minorEastAsia" w:eastAsiaTheme="minorEastAsia"/>
                <w:szCs w:val="21"/>
              </w:rPr>
              <w:t>评标价－</w:t>
            </w:r>
            <w:r>
              <w:rPr>
                <w:rFonts w:asciiTheme="minorEastAsia" w:hAnsiTheme="minorEastAsia" w:eastAsiaTheme="minorEastAsia"/>
                <w:szCs w:val="21"/>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.2.4</w:t>
            </w:r>
          </w:p>
        </w:tc>
        <w:tc>
          <w:tcPr>
            <w:tcW w:w="124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评分标准</w:t>
            </w:r>
          </w:p>
        </w:tc>
        <w:tc>
          <w:tcPr>
            <w:tcW w:w="7106"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（1）承包人建议书标准：见本表后具体评分标准；</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（2）承包人实施方案标准：见本表后具体评分标准；</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（3）资信业绩部分标准：见本表后具体评分标准；</w:t>
            </w:r>
          </w:p>
          <w:p>
            <w:pPr>
              <w:spacing w:line="320" w:lineRule="exact"/>
            </w:pPr>
            <w:r>
              <w:rPr>
                <w:rFonts w:hint="eastAsia" w:asciiTheme="minorEastAsia" w:hAnsiTheme="minorEastAsia" w:eastAsiaTheme="minorEastAsia"/>
                <w:szCs w:val="21"/>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1246"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评标程序</w:t>
            </w:r>
          </w:p>
        </w:tc>
        <w:tc>
          <w:tcPr>
            <w:tcW w:w="7106" w:type="dxa"/>
            <w:vAlign w:val="center"/>
          </w:tcPr>
          <w:p>
            <w:pPr>
              <w:tabs>
                <w:tab w:val="left" w:pos="3060"/>
              </w:tabs>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本款修改为：</w:t>
            </w:r>
          </w:p>
          <w:p>
            <w:pPr>
              <w:snapToGrid w:val="0"/>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3. 评标程序</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 第一个信封初步评审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 评标委员会可以要求投标人提交第二章“投标人须知”第 3.5.1 项至第 3.5.6 项规定的有关证明和证件的原件，以便核验。评标委员会依据本章第2.1款规定的标准对投标文件第一个信封（商务文件）进行初步评审。有一项不符合评审标准的，评标委员会应否决其投标。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3.2 第一个信封详细评审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评标委员会按本章第 2.2 款规定的量化因素和分值进行打分，并计算出各投标人的商务和技术得分。</w:t>
            </w:r>
          </w:p>
          <w:p>
            <w:pPr>
              <w:snapToGrid w:val="0"/>
              <w:spacing w:line="288"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商务部分详细评审：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3</w:t>
            </w:r>
            <w:r>
              <w:rPr>
                <w:rFonts w:hint="eastAsia" w:asciiTheme="minorEastAsia" w:hAnsiTheme="minorEastAsia" w:eastAsiaTheme="minorEastAsia"/>
                <w:szCs w:val="21"/>
              </w:rPr>
              <w:t>）目规定的评审因素和分值对资信业绩部分计算出得分</w:t>
            </w:r>
            <w:r>
              <w:rPr>
                <w:rFonts w:asciiTheme="minorEastAsia" w:hAnsiTheme="minorEastAsia" w:eastAsiaTheme="minorEastAsia"/>
                <w:szCs w:val="21"/>
              </w:rPr>
              <w:t>A</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szCs w:val="21"/>
              </w:rPr>
            </w:pPr>
            <w:r>
              <w:rPr>
                <w:rFonts w:hint="eastAsia"/>
                <w:b/>
                <w:bCs/>
              </w:rPr>
              <w:t>技术部分（暗标）详细评审：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1</w:t>
            </w:r>
            <w:r>
              <w:rPr>
                <w:rFonts w:hint="eastAsia" w:asciiTheme="minorEastAsia" w:hAnsiTheme="minorEastAsia" w:eastAsiaTheme="minorEastAsia"/>
                <w:szCs w:val="21"/>
              </w:rPr>
              <w:t>）目和2.2.4（</w:t>
            </w:r>
            <w:r>
              <w:rPr>
                <w:rFonts w:asciiTheme="minorEastAsia" w:hAnsiTheme="minorEastAsia" w:eastAsiaTheme="minorEastAsia"/>
                <w:szCs w:val="21"/>
              </w:rPr>
              <w:t>2</w:t>
            </w:r>
            <w:r>
              <w:rPr>
                <w:rFonts w:hint="eastAsia" w:asciiTheme="minorEastAsia" w:hAnsiTheme="minorEastAsia" w:eastAsiaTheme="minorEastAsia"/>
                <w:szCs w:val="21"/>
              </w:rPr>
              <w:t>）目规定的评审因素和分值对承包人建议书和承包人实施方案（暗标）计算出得分</w:t>
            </w:r>
            <w:r>
              <w:rPr>
                <w:rFonts w:asciiTheme="minorEastAsia" w:hAnsiTheme="minorEastAsia" w:eastAsiaTheme="minorEastAsia"/>
                <w:szCs w:val="21"/>
              </w:rPr>
              <w:t>B</w:t>
            </w:r>
            <w:r>
              <w:rPr>
                <w:rFonts w:hint="eastAsia" w:asciiTheme="minorEastAsia" w:hAnsiTheme="minorEastAsia" w:eastAsiaTheme="minorEastAsia"/>
                <w:szCs w:val="21"/>
              </w:rPr>
              <w:t>；承包人建议书和承包人实施方案（暗标）不符合招标文件第二章“投标人须知”第</w:t>
            </w:r>
            <w:r>
              <w:rPr>
                <w:rFonts w:asciiTheme="minorEastAsia" w:hAnsiTheme="minorEastAsia" w:eastAsiaTheme="minorEastAsia"/>
                <w:szCs w:val="21"/>
              </w:rPr>
              <w:t>9</w:t>
            </w:r>
            <w:r>
              <w:rPr>
                <w:rFonts w:hint="eastAsia" w:asciiTheme="minorEastAsia" w:hAnsiTheme="minorEastAsia" w:eastAsiaTheme="minorEastAsia"/>
                <w:szCs w:val="21"/>
              </w:rPr>
              <w:t>.2款的规定的，评标委员会应否决其投标。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投标人的商务和技术得分分值计算保留小数点后两位，小数点后第三位 “四舍五入”。</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3.2.3 投标人的商务和技术得分=</w:t>
            </w:r>
            <w:r>
              <w:rPr>
                <w:rFonts w:hint="eastAsia"/>
              </w:rPr>
              <w:t xml:space="preserve"> A+B</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3.3 第二个信封开标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3.4 第二个信封初步评审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(1)投标文件中的大写金额与小写金额不一致的，以大写金额为准；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(2)总价金额与依据单价计算出的结果不一致的，以单价金额为准修正总价，但单价金额小数点有明显错误的除外；</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(3)当单价与数量相乘不等于合价时，以单价计算为准，如果单价有明显的小数点位置差错，应以标出的合价为准，同时对单价予以修正；</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(4)当各子目的合价累计不等于总价时，应以各子目合价累计数为准，修正总价。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3.4.3修正后的最终投标报价若超过最高投标限价，评标委员会应否决其投标。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3.4.4修正后的最终投标报价仅作为签订合同的一个依据，不参与评标价得分的计算。</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3.5 第二个信封详细评审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 评标委员会按本章第 2.2.4（4）目规定的评审因素和分值对评标价计算出得分</w:t>
            </w:r>
            <w:r>
              <w:rPr>
                <w:rFonts w:asciiTheme="minorEastAsia" w:hAnsiTheme="minorEastAsia" w:eastAsiaTheme="minorEastAsia"/>
                <w:szCs w:val="21"/>
              </w:rPr>
              <w:t>C</w:t>
            </w:r>
            <w:r>
              <w:rPr>
                <w:rFonts w:hint="eastAsia" w:asciiTheme="minorEastAsia" w:hAnsiTheme="minorEastAsia" w:eastAsiaTheme="minorEastAsia"/>
                <w:szCs w:val="21"/>
              </w:rPr>
              <w:t>。评标价得分分值计算保留小数点后两位，小数点后第三位“四舍五入”。</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投标人综合得分=A</w:t>
            </w:r>
            <w:r>
              <w:rPr>
                <w:rFonts w:asciiTheme="minorEastAsia" w:hAnsiTheme="minorEastAsia" w:eastAsiaTheme="minorEastAsia"/>
                <w:szCs w:val="21"/>
              </w:rPr>
              <w:t>+B</w:t>
            </w:r>
            <w:r>
              <w:rPr>
                <w:rFonts w:hint="eastAsia" w:asciiTheme="minorEastAsia" w:hAnsiTheme="minorEastAsia" w:eastAsiaTheme="minorEastAsia"/>
                <w:szCs w:val="21"/>
              </w:rPr>
              <w:t>+</w:t>
            </w:r>
            <w:r>
              <w:rPr>
                <w:rFonts w:asciiTheme="minorEastAsia" w:hAnsiTheme="minorEastAsia" w:eastAsiaTheme="minorEastAsia"/>
                <w:szCs w:val="21"/>
              </w:rPr>
              <w:t>C</w:t>
            </w:r>
            <w:r>
              <w:rPr>
                <w:rFonts w:hint="eastAsia" w:asciiTheme="minorEastAsia" w:hAnsiTheme="minorEastAsia" w:eastAsiaTheme="minorEastAsia"/>
                <w:szCs w:val="21"/>
              </w:rPr>
              <w:t>。</w:t>
            </w:r>
          </w:p>
          <w:p>
            <w:pPr>
              <w:snapToGrid w:val="0"/>
              <w:spacing w:after="120" w:afterLines="50"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6</w:t>
            </w:r>
            <w:r>
              <w:rPr>
                <w:rFonts w:hint="eastAsia" w:asciiTheme="minorEastAsia" w:hAnsiTheme="minorEastAsia" w:eastAsiaTheme="minorEastAsia"/>
                <w:b/>
                <w:szCs w:val="21"/>
              </w:rPr>
              <w:t xml:space="preserve"> 投标文件相关信息的核查</w:t>
            </w:r>
          </w:p>
          <w:p>
            <w:pPr>
              <w:autoSpaceDE w:val="0"/>
              <w:autoSpaceDN w:val="0"/>
              <w:spacing w:line="273" w:lineRule="auto"/>
              <w:ind w:firstLine="420" w:firstLineChars="200"/>
              <w:rPr>
                <w:rFonts w:ascii="宋体" w:hAnsi="宋体"/>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.1</w:t>
            </w:r>
            <w:r>
              <w:rPr>
                <w:rFonts w:hint="eastAsia" w:ascii="宋体" w:hAnsi="宋体"/>
                <w:b/>
              </w:rPr>
              <w:t>在评标过程中，评标委员会应对投标人以下信息进行查询：</w:t>
            </w:r>
          </w:p>
          <w:p>
            <w:pPr>
              <w:autoSpaceDE w:val="0"/>
              <w:autoSpaceDN w:val="0"/>
              <w:spacing w:line="273" w:lineRule="auto"/>
              <w:ind w:firstLine="420" w:firstLineChars="200"/>
              <w:rPr>
                <w:rFonts w:ascii="宋体" w:hAnsi="宋体"/>
                <w:szCs w:val="21"/>
              </w:rPr>
            </w:pPr>
            <w:r>
              <w:rPr>
                <w:rFonts w:hint="eastAsia" w:ascii="宋体" w:hAnsi="宋体"/>
              </w:rPr>
              <w:t>（1）投标人名称和资质与“全国公路建设市场信用信息管理系统（http://glxy.mot.gov.cn</w:t>
            </w:r>
            <w:r>
              <w:rPr>
                <w:rFonts w:hint="eastAsia" w:ascii="宋体" w:hAnsi="宋体"/>
                <w:szCs w:val="21"/>
              </w:rPr>
              <w:t>/）”的复核结果一致</w:t>
            </w:r>
            <w:r>
              <w:rPr>
                <w:rFonts w:hint="eastAsia" w:ascii="宋体" w:hAnsi="宋体"/>
                <w:bCs/>
                <w:szCs w:val="21"/>
              </w:rPr>
              <w:t>（工程设计综合甲级资质、建筑工程施工总承包资质不适用）</w:t>
            </w:r>
            <w:r>
              <w:rPr>
                <w:rFonts w:hint="eastAsia" w:ascii="宋体" w:hAnsi="宋体"/>
                <w:szCs w:val="21"/>
              </w:rPr>
              <w:t>；</w:t>
            </w:r>
          </w:p>
          <w:p>
            <w:pPr>
              <w:autoSpaceDE w:val="0"/>
              <w:autoSpaceDN w:val="0"/>
              <w:spacing w:line="273" w:lineRule="auto"/>
              <w:ind w:firstLine="420" w:firstLineChars="200"/>
              <w:rPr>
                <w:rFonts w:ascii="宋体" w:hAnsi="宋体"/>
              </w:rPr>
            </w:pPr>
            <w:r>
              <w:rPr>
                <w:rFonts w:hint="eastAsia" w:ascii="宋体" w:hAnsi="宋体"/>
              </w:rPr>
              <w:t>（2）投标人所附“近年完成的类似项目”业绩（房建业绩除外）详细信息网页截图复印件与“全国公路建设市场信用信息管理系统（http://glxy.mot.gov.cn/）”的复核结果一致；投标人所附设计负责人、项目经理（兼施工负责人）、项目总工业绩的网页截图复印件与全国公路建设市场信用信息管理系统（http://glxy.mot.gov.cn/）的复核结果一致；</w:t>
            </w:r>
          </w:p>
          <w:p>
            <w:pPr>
              <w:autoSpaceDE w:val="0"/>
              <w:autoSpaceDN w:val="0"/>
              <w:spacing w:line="273" w:lineRule="auto"/>
              <w:ind w:firstLine="420" w:firstLineChars="200"/>
              <w:rPr>
                <w:rFonts w:ascii="宋体" w:hAnsi="宋体"/>
              </w:rPr>
            </w:pPr>
            <w:r>
              <w:rPr>
                <w:rFonts w:hint="eastAsia" w:ascii="宋体" w:hAnsi="宋体"/>
              </w:rPr>
              <w:t>（3）投标人所附项目经理（兼施工负责人）一级注册建造师信息的网页截图复印件与“全国建筑市场监管公共服务平台（http://jzsc.mohurd.gov.cn/）”核查的结果一致。所附项目经理（兼施工负责人）、项目总工的安全生产考核合格证的网页截图复印件与“交通运输部公路水运工程企业负责人和安全生产管理人员信息公共平台查询网站（http://219.143.235.78:8080/khglui/）”核查的结果一致。</w:t>
            </w:r>
          </w:p>
          <w:p>
            <w:pPr>
              <w:autoSpaceDE w:val="0"/>
              <w:autoSpaceDN w:val="0"/>
              <w:spacing w:line="273" w:lineRule="auto"/>
              <w:ind w:firstLine="420" w:firstLineChars="200"/>
              <w:rPr>
                <w:rFonts w:ascii="宋体" w:hAnsi="宋体"/>
              </w:rPr>
            </w:pPr>
            <w:r>
              <w:rPr>
                <w:rFonts w:hint="eastAsia" w:ascii="宋体" w:hAnsi="宋体"/>
              </w:rPr>
              <w:t>（4）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w:t>
            </w:r>
          </w:p>
          <w:p>
            <w:pPr>
              <w:autoSpaceDE w:val="0"/>
              <w:autoSpaceDN w:val="0"/>
              <w:spacing w:line="273" w:lineRule="auto"/>
              <w:ind w:firstLine="420" w:firstLineChars="200"/>
              <w:rPr>
                <w:rFonts w:ascii="宋体" w:hAnsi="宋体"/>
              </w:rPr>
            </w:pPr>
            <w:r>
              <w:rPr>
                <w:rFonts w:hint="eastAsia" w:ascii="宋体" w:hAnsi="宋体"/>
              </w:rPr>
              <w:t>前述（1）、（2）、（3）、（4）项如投标人未提供相关网页截图或所附截图与复核结果不一致导致不能满足资格评审要求的，评标委员会应否决其投标。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autoSpaceDE w:val="0"/>
              <w:autoSpaceDN w:val="0"/>
              <w:spacing w:line="273" w:lineRule="auto"/>
              <w:ind w:firstLine="420" w:firstLineChars="200"/>
            </w:pPr>
            <w:r>
              <w:rPr>
                <w:rFonts w:hint="eastAsia"/>
              </w:rPr>
              <w:t>（5）评标委员会在评标时按照投标人提供的验证方式对电子保函或电子保证保险进行验证。如投标人未提供电子保函或电子保证保险的验证方式，或根据提供的验证方式无法核实的，评标委员会应否决其投标。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（1）有下列情形之一的，属于投标人相互串通投标：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a.投标人之间协商投标报价等投标文件的实质性内容；</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b.投标人之间约定中标人；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c.投标人之间约定部分投标人放弃投标或中标；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d.属于同一集团、协会、商会等组织成员的投标人按照该组织要求协同投标；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e.投标人之间为谋取中标或排斥特定投标人而采取的其他联合行动。</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（2）有下列情形之一的，视为投标人相互串通投标：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a.不同投标人的投标文件由同一单位或个人编制；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b.不同投标人委托同一单位或个人办理投标事宜；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c.不同投标人的投标文件载明的项目管理成员为同一人；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d.不同投标人的投标文件异常一致或投标报价呈规律性差异；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e.不同投标人的投标文件相互混装；</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f.不同投标人的投标保证金从同一单位或个人的账户转出；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（3）有下列情形之一的，属于招标人与投标人串通投标：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a.招标人在开标前开启投标文件并将有关信息泄露给其他投标人;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b.招标人直接或间接向投标人泄露标底、评标委员会成员等信息；</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c.招标人明示或暗示投标人压低或抬高投标报价；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d.招标人授意投标人撤换、修改投标文件；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e.招标人明示或暗示投标人为特定投标人中标提供方便；</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f.招标人与投标人为谋求特定投标人中标而采取的其他串通行为。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（4）投标人有下列情形之一的，属于弄虚作假的行为：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a.使用通过受让或租借等方式获取的资格、资质证书投标；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b.使用伪造、变造的许可证件；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c.提供虚假的财务状况或业绩；</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d.提供虚假的项目负责人或主要技术人员简历、劳动关系证明；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e.提供虚假的信用状况；</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f.其他弄虚作假的行为。</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7</w:t>
            </w:r>
            <w:r>
              <w:rPr>
                <w:rFonts w:hint="eastAsia" w:asciiTheme="minorEastAsia" w:hAnsiTheme="minorEastAsia" w:eastAsiaTheme="minorEastAsia"/>
                <w:b/>
                <w:szCs w:val="21"/>
              </w:rPr>
              <w:t xml:space="preserve"> 投标文件的澄清和说明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凡超出招标文件规定的或给发包人带来未曾要求的利益的变化、偏差或其他因素在评标时不予考虑。</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8</w:t>
            </w:r>
            <w:r>
              <w:rPr>
                <w:rFonts w:hint="eastAsia" w:asciiTheme="minorEastAsia" w:hAnsiTheme="minorEastAsia" w:eastAsiaTheme="minorEastAsia"/>
                <w:b/>
                <w:szCs w:val="21"/>
              </w:rPr>
              <w:t>不得否决投标的情形</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9</w:t>
            </w:r>
            <w:r>
              <w:rPr>
                <w:rFonts w:hint="eastAsia" w:asciiTheme="minorEastAsia" w:hAnsiTheme="minorEastAsia" w:eastAsiaTheme="minorEastAsia"/>
                <w:b/>
                <w:szCs w:val="21"/>
              </w:rPr>
              <w:t xml:space="preserve"> 评标结果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3.9.1 除第二章“投标人须知”前附表授权直接确定中标人外，评标委员会按照综合得分由高到低的顺序推荐中标候选人，并标明排序。</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3.9.2 评标委员会完成评标后，应向招标人提交书面评标报告。</w:t>
            </w:r>
          </w:p>
        </w:tc>
      </w:tr>
    </w:tbl>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jc w:val="left"/>
        <w:rPr>
          <w:rFonts w:asciiTheme="minorEastAsia" w:hAnsiTheme="minorEastAsia" w:eastAsiaTheme="minorEastAsia"/>
          <w:szCs w:val="21"/>
        </w:rPr>
      </w:pPr>
      <w:bookmarkStart w:id="6" w:name="_Hlk143436269"/>
      <w:r>
        <w:rPr>
          <w:rFonts w:hint="eastAsia" w:asciiTheme="minorEastAsia" w:hAnsiTheme="minorEastAsia" w:eastAsiaTheme="minorEastAsia"/>
          <w:szCs w:val="21"/>
        </w:rPr>
        <w:t>具体评分标准如下：</w:t>
      </w:r>
    </w:p>
    <w:tbl>
      <w:tblPr>
        <w:tblStyle w:val="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00"/>
        <w:gridCol w:w="691"/>
        <w:gridCol w:w="1450"/>
        <w:gridCol w:w="70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4614" w:type="dxa"/>
            <w:gridSpan w:val="5"/>
            <w:vAlign w:val="center"/>
          </w:tcPr>
          <w:p>
            <w:pPr>
              <w:spacing w:line="320" w:lineRule="exact"/>
              <w:jc w:val="center"/>
              <w:rPr>
                <w:rFonts w:ascii="宋体" w:hAnsi="宋体"/>
                <w:sz w:val="20"/>
                <w:szCs w:val="20"/>
              </w:rPr>
            </w:pPr>
            <w:r>
              <w:rPr>
                <w:rFonts w:hint="eastAsia" w:ascii="宋体" w:hAnsi="宋体"/>
                <w:sz w:val="20"/>
                <w:szCs w:val="20"/>
              </w:rPr>
              <w:t>评分因素与权重分值</w:t>
            </w:r>
          </w:p>
        </w:tc>
        <w:tc>
          <w:tcPr>
            <w:tcW w:w="4536" w:type="dxa"/>
            <w:vMerge w:val="restart"/>
            <w:vAlign w:val="center"/>
          </w:tcPr>
          <w:p>
            <w:pPr>
              <w:spacing w:line="320" w:lineRule="exact"/>
              <w:jc w:val="center"/>
              <w:rPr>
                <w:rFonts w:ascii="宋体" w:hAnsi="宋体"/>
                <w:sz w:val="20"/>
                <w:szCs w:val="20"/>
              </w:rPr>
            </w:pPr>
            <w:r>
              <w:rPr>
                <w:rFonts w:hint="eastAsia" w:ascii="宋体" w:hAnsi="宋体"/>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65" w:type="dxa"/>
            <w:vAlign w:val="center"/>
          </w:tcPr>
          <w:p>
            <w:pPr>
              <w:spacing w:line="320" w:lineRule="exact"/>
              <w:jc w:val="center"/>
              <w:rPr>
                <w:rFonts w:ascii="宋体" w:hAnsi="宋体"/>
                <w:sz w:val="20"/>
                <w:szCs w:val="20"/>
              </w:rPr>
            </w:pPr>
            <w:r>
              <w:rPr>
                <w:rFonts w:hint="eastAsia" w:ascii="宋体" w:hAnsi="宋体"/>
                <w:sz w:val="20"/>
                <w:szCs w:val="20"/>
              </w:rPr>
              <w:t>条款号</w:t>
            </w:r>
          </w:p>
        </w:tc>
        <w:tc>
          <w:tcPr>
            <w:tcW w:w="1000" w:type="dxa"/>
            <w:vAlign w:val="center"/>
          </w:tcPr>
          <w:p>
            <w:pPr>
              <w:spacing w:line="320" w:lineRule="exact"/>
              <w:jc w:val="center"/>
              <w:rPr>
                <w:rFonts w:ascii="宋体" w:hAnsi="宋体"/>
                <w:sz w:val="20"/>
                <w:szCs w:val="20"/>
              </w:rPr>
            </w:pPr>
            <w:r>
              <w:rPr>
                <w:rFonts w:hint="eastAsia" w:ascii="宋体" w:hAnsi="宋体"/>
                <w:sz w:val="20"/>
                <w:szCs w:val="20"/>
              </w:rPr>
              <w:t>评分因素</w:t>
            </w:r>
          </w:p>
        </w:tc>
        <w:tc>
          <w:tcPr>
            <w:tcW w:w="691" w:type="dxa"/>
            <w:vAlign w:val="center"/>
          </w:tcPr>
          <w:p>
            <w:pPr>
              <w:snapToGrid w:val="0"/>
              <w:jc w:val="center"/>
              <w:rPr>
                <w:rFonts w:ascii="宋体" w:hAnsi="宋体"/>
                <w:sz w:val="20"/>
                <w:szCs w:val="20"/>
              </w:rPr>
            </w:pPr>
            <w:r>
              <w:rPr>
                <w:rFonts w:hint="eastAsia" w:ascii="宋体" w:hAnsi="宋体"/>
                <w:sz w:val="20"/>
                <w:szCs w:val="20"/>
              </w:rPr>
              <w:t>评分因素 权重分值</w:t>
            </w:r>
          </w:p>
        </w:tc>
        <w:tc>
          <w:tcPr>
            <w:tcW w:w="1450" w:type="dxa"/>
            <w:vAlign w:val="center"/>
          </w:tcPr>
          <w:p>
            <w:pPr>
              <w:spacing w:line="320" w:lineRule="exact"/>
              <w:jc w:val="center"/>
              <w:rPr>
                <w:rFonts w:ascii="宋体" w:hAnsi="宋体"/>
                <w:sz w:val="20"/>
                <w:szCs w:val="20"/>
              </w:rPr>
            </w:pPr>
            <w:r>
              <w:rPr>
                <w:rFonts w:ascii="宋体" w:hAnsi="宋体"/>
                <w:smallCaps/>
                <w:sz w:val="20"/>
                <w:szCs w:val="20"/>
              </w:rPr>
              <w:t>各评分因素细分项</w:t>
            </w:r>
          </w:p>
        </w:tc>
        <w:tc>
          <w:tcPr>
            <w:tcW w:w="708" w:type="dxa"/>
            <w:vAlign w:val="center"/>
          </w:tcPr>
          <w:p>
            <w:pPr>
              <w:spacing w:line="320" w:lineRule="exact"/>
              <w:jc w:val="center"/>
              <w:rPr>
                <w:rFonts w:ascii="宋体" w:hAnsi="宋体"/>
                <w:sz w:val="20"/>
                <w:szCs w:val="20"/>
              </w:rPr>
            </w:pPr>
            <w:r>
              <w:rPr>
                <w:rFonts w:hint="eastAsia" w:ascii="宋体" w:hAnsi="宋体"/>
                <w:sz w:val="20"/>
                <w:szCs w:val="20"/>
              </w:rPr>
              <w:t>分值</w:t>
            </w:r>
          </w:p>
        </w:tc>
        <w:tc>
          <w:tcPr>
            <w:tcW w:w="4536" w:type="dxa"/>
            <w:vMerge w:val="continue"/>
            <w:vAlign w:val="center"/>
          </w:tcPr>
          <w:p>
            <w:pPr>
              <w:spacing w:line="32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restart"/>
            <w:vAlign w:val="center"/>
          </w:tcPr>
          <w:p>
            <w:pPr>
              <w:spacing w:line="320" w:lineRule="exact"/>
              <w:jc w:val="center"/>
              <w:rPr>
                <w:rFonts w:ascii="宋体" w:hAnsi="宋体"/>
                <w:sz w:val="20"/>
                <w:szCs w:val="20"/>
              </w:rPr>
            </w:pPr>
            <w:r>
              <w:rPr>
                <w:rFonts w:hint="eastAsia" w:ascii="宋体" w:hAnsi="宋体"/>
                <w:sz w:val="20"/>
                <w:szCs w:val="20"/>
              </w:rPr>
              <w:t>2.2.4（1）</w:t>
            </w:r>
          </w:p>
        </w:tc>
        <w:tc>
          <w:tcPr>
            <w:tcW w:w="1000" w:type="dxa"/>
            <w:vMerge w:val="restart"/>
            <w:vAlign w:val="center"/>
          </w:tcPr>
          <w:p>
            <w:pPr>
              <w:jc w:val="center"/>
              <w:rPr>
                <w:rFonts w:ascii="宋体" w:hAnsi="宋体"/>
                <w:sz w:val="20"/>
                <w:szCs w:val="20"/>
              </w:rPr>
            </w:pPr>
            <w:r>
              <w:rPr>
                <w:rFonts w:hint="eastAsia" w:ascii="宋体" w:hAnsi="宋体"/>
                <w:sz w:val="20"/>
                <w:szCs w:val="20"/>
              </w:rPr>
              <w:t>承包人建议书（暗标）</w:t>
            </w:r>
          </w:p>
        </w:tc>
        <w:tc>
          <w:tcPr>
            <w:tcW w:w="691" w:type="dxa"/>
            <w:vMerge w:val="restart"/>
            <w:vAlign w:val="center"/>
          </w:tcPr>
          <w:p>
            <w:pPr>
              <w:spacing w:line="320" w:lineRule="exact"/>
              <w:jc w:val="center"/>
              <w:rPr>
                <w:rFonts w:ascii="宋体" w:hAnsi="宋体"/>
                <w:sz w:val="20"/>
                <w:szCs w:val="20"/>
              </w:rPr>
            </w:pPr>
            <w:r>
              <w:rPr>
                <w:rFonts w:ascii="宋体" w:hAnsi="宋体"/>
                <w:sz w:val="20"/>
                <w:szCs w:val="20"/>
              </w:rPr>
              <w:t>25</w:t>
            </w:r>
            <w:r>
              <w:rPr>
                <w:rFonts w:hint="eastAsia" w:ascii="宋体" w:hAnsi="宋体"/>
                <w:sz w:val="20"/>
                <w:szCs w:val="20"/>
              </w:rPr>
              <w:t>分</w:t>
            </w:r>
          </w:p>
        </w:tc>
        <w:tc>
          <w:tcPr>
            <w:tcW w:w="1450" w:type="dxa"/>
            <w:vAlign w:val="center"/>
          </w:tcPr>
          <w:p>
            <w:pPr>
              <w:snapToGrid w:val="0"/>
              <w:jc w:val="center"/>
              <w:rPr>
                <w:rFonts w:ascii="宋体" w:hAnsi="宋体"/>
                <w:sz w:val="20"/>
                <w:szCs w:val="20"/>
              </w:rPr>
            </w:pPr>
            <w:r>
              <w:rPr>
                <w:rFonts w:hint="eastAsia" w:ascii="宋体" w:hAnsi="宋体"/>
                <w:szCs w:val="21"/>
              </w:rPr>
              <w:t>对项目的理解和总体设计思路</w:t>
            </w:r>
          </w:p>
        </w:tc>
        <w:tc>
          <w:tcPr>
            <w:tcW w:w="708" w:type="dxa"/>
            <w:vAlign w:val="center"/>
          </w:tcPr>
          <w:p>
            <w:pPr>
              <w:snapToGrid w:val="0"/>
              <w:jc w:val="center"/>
              <w:rPr>
                <w:rFonts w:ascii="宋体" w:hAnsi="宋体"/>
                <w:sz w:val="20"/>
                <w:szCs w:val="20"/>
              </w:rPr>
            </w:pPr>
            <w:r>
              <w:rPr>
                <w:rFonts w:ascii="宋体" w:hAnsi="宋体"/>
                <w:szCs w:val="21"/>
              </w:rPr>
              <w:t>4</w:t>
            </w:r>
            <w:r>
              <w:rPr>
                <w:rFonts w:hint="eastAsia" w:ascii="宋体" w:hAnsi="宋体"/>
                <w:szCs w:val="21"/>
              </w:rPr>
              <w:t>分</w:t>
            </w:r>
          </w:p>
        </w:tc>
        <w:tc>
          <w:tcPr>
            <w:tcW w:w="4536" w:type="dxa"/>
            <w:vAlign w:val="center"/>
          </w:tcPr>
          <w:p>
            <w:pPr>
              <w:ind w:right="-105" w:rightChars="-50"/>
              <w:jc w:val="left"/>
              <w:rPr>
                <w:rFonts w:ascii="宋体" w:hAnsi="宋体"/>
                <w:szCs w:val="21"/>
              </w:rPr>
            </w:pPr>
            <w:r>
              <w:rPr>
                <w:rFonts w:hint="eastAsia" w:ascii="宋体" w:hAnsi="宋体"/>
                <w:szCs w:val="21"/>
              </w:rPr>
              <w:t>对招标项目的总体设计理解准确，思路与前一阶段的设计理念、思路高度吻合，得</w:t>
            </w:r>
            <w:r>
              <w:rPr>
                <w:rFonts w:ascii="宋体" w:hAnsi="宋体"/>
                <w:szCs w:val="21"/>
              </w:rPr>
              <w:t>3.2</w:t>
            </w:r>
            <w:r>
              <w:rPr>
                <w:rFonts w:hint="eastAsia" w:ascii="宋体" w:hAnsi="宋体"/>
                <w:szCs w:val="21"/>
              </w:rPr>
              <w:t>（不含）-</w:t>
            </w:r>
            <w:r>
              <w:rPr>
                <w:rFonts w:ascii="宋体" w:hAnsi="宋体"/>
                <w:szCs w:val="21"/>
              </w:rPr>
              <w:t>4</w:t>
            </w:r>
            <w:r>
              <w:rPr>
                <w:rFonts w:hint="eastAsia" w:ascii="宋体" w:hAnsi="宋体"/>
                <w:szCs w:val="21"/>
              </w:rPr>
              <w:t>分；</w:t>
            </w:r>
          </w:p>
          <w:p>
            <w:pPr>
              <w:ind w:right="-105" w:rightChars="-50"/>
              <w:jc w:val="left"/>
              <w:rPr>
                <w:rFonts w:ascii="宋体" w:hAnsi="宋体"/>
                <w:szCs w:val="21"/>
              </w:rPr>
            </w:pPr>
            <w:r>
              <w:rPr>
                <w:rFonts w:hint="eastAsia" w:ascii="宋体" w:hAnsi="宋体"/>
                <w:szCs w:val="21"/>
              </w:rPr>
              <w:t>对招标项目的总体设计理解较准确，思路与前一阶段的设计理念、思路吻合，得</w:t>
            </w:r>
            <w:r>
              <w:rPr>
                <w:rFonts w:ascii="宋体" w:hAnsi="宋体"/>
                <w:szCs w:val="21"/>
              </w:rPr>
              <w:t>2.4</w:t>
            </w:r>
            <w:r>
              <w:rPr>
                <w:rFonts w:hint="eastAsia" w:ascii="宋体" w:hAnsi="宋体"/>
                <w:szCs w:val="21"/>
              </w:rPr>
              <w:t>（不含）-</w:t>
            </w:r>
            <w:r>
              <w:rPr>
                <w:rFonts w:ascii="宋体" w:hAnsi="宋体"/>
                <w:szCs w:val="21"/>
              </w:rPr>
              <w:t>3.2</w:t>
            </w:r>
            <w:r>
              <w:rPr>
                <w:rFonts w:hint="eastAsia" w:ascii="宋体" w:hAnsi="宋体"/>
                <w:szCs w:val="21"/>
              </w:rPr>
              <w:t>（含）分；</w:t>
            </w:r>
          </w:p>
          <w:p>
            <w:pPr>
              <w:snapToGrid w:val="0"/>
              <w:rPr>
                <w:rFonts w:ascii="宋体" w:hAnsi="宋体"/>
                <w:sz w:val="20"/>
                <w:szCs w:val="20"/>
              </w:rPr>
            </w:pPr>
            <w:r>
              <w:rPr>
                <w:rFonts w:hint="eastAsia" w:ascii="宋体" w:hAnsi="宋体"/>
                <w:szCs w:val="21"/>
              </w:rPr>
              <w:t>对招标项目的总体设计理解一般，思路与前一阶段的设计理念、思路基本吻合，得</w:t>
            </w:r>
            <w:r>
              <w:rPr>
                <w:rFonts w:ascii="宋体" w:hAnsi="宋体"/>
                <w:szCs w:val="21"/>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napToGrid w:val="0"/>
              <w:jc w:val="center"/>
              <w:rPr>
                <w:rFonts w:ascii="宋体" w:hAnsi="宋体"/>
                <w:sz w:val="20"/>
                <w:szCs w:val="20"/>
              </w:rPr>
            </w:pPr>
            <w:r>
              <w:rPr>
                <w:rFonts w:hint="eastAsia" w:ascii="宋体" w:hAnsi="宋体"/>
              </w:rPr>
              <w:t>施工图设计方案</w:t>
            </w:r>
          </w:p>
        </w:tc>
        <w:tc>
          <w:tcPr>
            <w:tcW w:w="708" w:type="dxa"/>
            <w:vAlign w:val="center"/>
          </w:tcPr>
          <w:p>
            <w:pPr>
              <w:snapToGrid w:val="0"/>
              <w:jc w:val="center"/>
              <w:rPr>
                <w:rFonts w:ascii="宋体" w:hAnsi="宋体"/>
                <w:sz w:val="20"/>
                <w:szCs w:val="20"/>
              </w:rPr>
            </w:pPr>
            <w:r>
              <w:rPr>
                <w:rFonts w:ascii="宋体" w:hAnsi="宋体"/>
              </w:rPr>
              <w:t>10</w:t>
            </w:r>
            <w:r>
              <w:rPr>
                <w:rFonts w:hint="eastAsia" w:ascii="宋体" w:hAnsi="宋体"/>
              </w:rPr>
              <w:t>分</w:t>
            </w:r>
          </w:p>
        </w:tc>
        <w:tc>
          <w:tcPr>
            <w:tcW w:w="4536" w:type="dxa"/>
            <w:vAlign w:val="center"/>
          </w:tcPr>
          <w:p>
            <w:pPr>
              <w:ind w:right="-105" w:rightChars="-50"/>
              <w:jc w:val="left"/>
              <w:rPr>
                <w:rFonts w:ascii="宋体" w:hAnsi="宋体"/>
              </w:rPr>
            </w:pPr>
            <w:r>
              <w:rPr>
                <w:rFonts w:hint="eastAsia" w:ascii="宋体" w:hAnsi="宋体"/>
              </w:rPr>
              <w:t>总体设计方案优，设计图纸适合现场条件、满足施工要求、总体布局科学合理，得</w:t>
            </w:r>
            <w:r>
              <w:rPr>
                <w:rFonts w:ascii="宋体" w:hAnsi="宋体"/>
              </w:rPr>
              <w:t>8.0</w:t>
            </w:r>
            <w:r>
              <w:rPr>
                <w:rFonts w:hint="eastAsia" w:ascii="宋体" w:hAnsi="宋体"/>
              </w:rPr>
              <w:t>（不含）-</w:t>
            </w:r>
            <w:r>
              <w:rPr>
                <w:rFonts w:ascii="宋体" w:hAnsi="宋体"/>
              </w:rPr>
              <w:t>10</w:t>
            </w:r>
            <w:r>
              <w:rPr>
                <w:rFonts w:hint="eastAsia" w:ascii="宋体" w:hAnsi="宋体"/>
              </w:rPr>
              <w:t>.0分；</w:t>
            </w:r>
          </w:p>
          <w:p>
            <w:pPr>
              <w:ind w:right="-105" w:rightChars="-50"/>
              <w:jc w:val="left"/>
              <w:rPr>
                <w:rFonts w:ascii="宋体" w:hAnsi="宋体"/>
              </w:rPr>
            </w:pPr>
            <w:r>
              <w:rPr>
                <w:rFonts w:hint="eastAsia" w:ascii="宋体" w:hAnsi="宋体"/>
              </w:rPr>
              <w:t>总体设计方案较好，设计图纸满足施工要求、总体布局合理，得</w:t>
            </w:r>
            <w:r>
              <w:rPr>
                <w:rFonts w:ascii="宋体" w:hAnsi="宋体"/>
              </w:rPr>
              <w:t>6.0</w:t>
            </w:r>
            <w:r>
              <w:rPr>
                <w:rFonts w:hint="eastAsia" w:ascii="宋体" w:hAnsi="宋体"/>
              </w:rPr>
              <w:t>（不含）-</w:t>
            </w:r>
            <w:r>
              <w:rPr>
                <w:rFonts w:ascii="宋体" w:hAnsi="宋体"/>
              </w:rPr>
              <w:t>8.0</w:t>
            </w:r>
            <w:r>
              <w:rPr>
                <w:rFonts w:hint="eastAsia" w:ascii="宋体" w:hAnsi="宋体"/>
              </w:rPr>
              <w:t>（含）分；</w:t>
            </w:r>
          </w:p>
          <w:p>
            <w:pPr>
              <w:snapToGrid w:val="0"/>
              <w:rPr>
                <w:rFonts w:ascii="宋体" w:hAnsi="宋体"/>
                <w:sz w:val="20"/>
                <w:szCs w:val="20"/>
              </w:rPr>
            </w:pPr>
            <w:r>
              <w:rPr>
                <w:rFonts w:hint="eastAsia" w:ascii="宋体" w:hAnsi="宋体"/>
              </w:rPr>
              <w:t>总体设计方案一般，设计图纸基本满足施工要求、总体布局基本合理，得</w:t>
            </w:r>
            <w:r>
              <w:rPr>
                <w:rFonts w:ascii="宋体" w:hAnsi="宋体"/>
              </w:rPr>
              <w:t>6.0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napToGrid w:val="0"/>
              <w:jc w:val="center"/>
              <w:rPr>
                <w:rFonts w:ascii="宋体" w:hAnsi="宋体"/>
                <w:sz w:val="20"/>
                <w:szCs w:val="20"/>
              </w:rPr>
            </w:pPr>
            <w:r>
              <w:rPr>
                <w:rFonts w:hint="eastAsia" w:ascii="宋体" w:hAnsi="宋体"/>
              </w:rPr>
              <w:t>设计质量保证措施</w:t>
            </w:r>
          </w:p>
        </w:tc>
        <w:tc>
          <w:tcPr>
            <w:tcW w:w="708" w:type="dxa"/>
            <w:vAlign w:val="center"/>
          </w:tcPr>
          <w:p>
            <w:pPr>
              <w:snapToGrid w:val="0"/>
              <w:jc w:val="center"/>
              <w:rPr>
                <w:rFonts w:ascii="宋体" w:hAnsi="宋体"/>
                <w:sz w:val="20"/>
                <w:szCs w:val="20"/>
              </w:rPr>
            </w:pPr>
            <w:r>
              <w:rPr>
                <w:rFonts w:ascii="宋体" w:hAnsi="宋体"/>
              </w:rPr>
              <w:t>3</w:t>
            </w:r>
            <w:r>
              <w:rPr>
                <w:rFonts w:hint="eastAsia" w:ascii="宋体" w:hAnsi="宋体"/>
              </w:rPr>
              <w:t>分</w:t>
            </w:r>
          </w:p>
        </w:tc>
        <w:tc>
          <w:tcPr>
            <w:tcW w:w="4536" w:type="dxa"/>
            <w:vAlign w:val="center"/>
          </w:tcPr>
          <w:p>
            <w:pPr>
              <w:spacing w:line="320" w:lineRule="exact"/>
              <w:rPr>
                <w:rFonts w:ascii="宋体" w:hAnsi="宋体"/>
              </w:rPr>
            </w:pPr>
            <w:r>
              <w:rPr>
                <w:rFonts w:hint="eastAsia" w:ascii="宋体" w:hAnsi="宋体"/>
              </w:rPr>
              <w:t>保证措施具体、全面合理，得</w:t>
            </w:r>
            <w:r>
              <w:rPr>
                <w:rFonts w:ascii="宋体" w:hAnsi="宋体"/>
              </w:rPr>
              <w:t>2.4</w:t>
            </w:r>
            <w:r>
              <w:rPr>
                <w:rFonts w:hint="eastAsia" w:ascii="宋体" w:hAnsi="宋体"/>
              </w:rPr>
              <w:t>（不含）-</w:t>
            </w:r>
            <w:r>
              <w:rPr>
                <w:rFonts w:ascii="宋体" w:hAnsi="宋体"/>
              </w:rPr>
              <w:t>3</w:t>
            </w:r>
            <w:r>
              <w:rPr>
                <w:rFonts w:hint="eastAsia" w:ascii="宋体" w:hAnsi="宋体"/>
              </w:rPr>
              <w:t>.0分；</w:t>
            </w:r>
          </w:p>
          <w:p>
            <w:pPr>
              <w:spacing w:line="320" w:lineRule="exact"/>
              <w:rPr>
                <w:rFonts w:ascii="宋体" w:hAnsi="宋体"/>
              </w:rPr>
            </w:pPr>
            <w:r>
              <w:rPr>
                <w:rFonts w:hint="eastAsia" w:ascii="宋体" w:hAnsi="宋体"/>
              </w:rPr>
              <w:t>保证措施较具体、较合理，得1.</w:t>
            </w:r>
            <w:r>
              <w:rPr>
                <w:rFonts w:ascii="宋体" w:hAnsi="宋体"/>
              </w:rPr>
              <w:t>8</w:t>
            </w:r>
            <w:r>
              <w:rPr>
                <w:rFonts w:hint="eastAsia" w:ascii="宋体" w:hAnsi="宋体"/>
              </w:rPr>
              <w:t>（不含）-</w:t>
            </w:r>
            <w:r>
              <w:rPr>
                <w:rFonts w:ascii="宋体" w:hAnsi="宋体"/>
              </w:rPr>
              <w:t>2.4</w:t>
            </w:r>
            <w:r>
              <w:rPr>
                <w:rFonts w:hint="eastAsia" w:ascii="宋体" w:hAnsi="宋体"/>
              </w:rPr>
              <w:t>（含）分；</w:t>
            </w:r>
          </w:p>
          <w:p>
            <w:pPr>
              <w:snapToGrid w:val="0"/>
              <w:rPr>
                <w:rFonts w:ascii="宋体" w:hAnsi="宋体"/>
                <w:sz w:val="20"/>
                <w:szCs w:val="20"/>
              </w:rPr>
            </w:pPr>
            <w:r>
              <w:rPr>
                <w:rFonts w:hint="eastAsia" w:ascii="宋体" w:hAnsi="宋体"/>
              </w:rPr>
              <w:t>保证措施一般，得1.</w:t>
            </w:r>
            <w:r>
              <w:rPr>
                <w:rFonts w:ascii="宋体" w:hAnsi="宋体"/>
              </w:rPr>
              <w:t>8</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napToGrid w:val="0"/>
              <w:jc w:val="center"/>
              <w:rPr>
                <w:rFonts w:ascii="宋体" w:hAnsi="宋体"/>
                <w:sz w:val="20"/>
                <w:szCs w:val="20"/>
              </w:rPr>
            </w:pPr>
            <w:r>
              <w:rPr>
                <w:rFonts w:hint="eastAsia" w:ascii="宋体" w:hAnsi="宋体"/>
              </w:rPr>
              <w:t>设计进度计划保证措施</w:t>
            </w:r>
          </w:p>
        </w:tc>
        <w:tc>
          <w:tcPr>
            <w:tcW w:w="708" w:type="dxa"/>
            <w:vAlign w:val="center"/>
          </w:tcPr>
          <w:p>
            <w:pPr>
              <w:snapToGrid w:val="0"/>
              <w:jc w:val="center"/>
              <w:rPr>
                <w:rFonts w:ascii="宋体" w:hAnsi="宋体"/>
                <w:sz w:val="20"/>
                <w:szCs w:val="20"/>
              </w:rPr>
            </w:pPr>
            <w:r>
              <w:rPr>
                <w:rFonts w:ascii="宋体" w:hAnsi="宋体"/>
              </w:rPr>
              <w:t>3</w:t>
            </w:r>
            <w:r>
              <w:rPr>
                <w:rFonts w:hint="eastAsia" w:ascii="宋体" w:hAnsi="宋体"/>
              </w:rPr>
              <w:t>分</w:t>
            </w:r>
          </w:p>
        </w:tc>
        <w:tc>
          <w:tcPr>
            <w:tcW w:w="4536" w:type="dxa"/>
            <w:vAlign w:val="center"/>
          </w:tcPr>
          <w:p>
            <w:pPr>
              <w:spacing w:line="320" w:lineRule="exact"/>
              <w:rPr>
                <w:rFonts w:ascii="宋体" w:hAnsi="宋体"/>
              </w:rPr>
            </w:pPr>
            <w:r>
              <w:rPr>
                <w:rFonts w:hint="eastAsia" w:ascii="宋体" w:hAnsi="宋体"/>
              </w:rPr>
              <w:t>保证措施具体、全面合理，得</w:t>
            </w:r>
            <w:r>
              <w:rPr>
                <w:rFonts w:ascii="宋体" w:hAnsi="宋体"/>
              </w:rPr>
              <w:t>2.4</w:t>
            </w:r>
            <w:r>
              <w:rPr>
                <w:rFonts w:hint="eastAsia" w:ascii="宋体" w:hAnsi="宋体"/>
              </w:rPr>
              <w:t>（不含）-</w:t>
            </w:r>
            <w:r>
              <w:rPr>
                <w:rFonts w:ascii="宋体" w:hAnsi="宋体"/>
              </w:rPr>
              <w:t>3</w:t>
            </w:r>
            <w:r>
              <w:rPr>
                <w:rFonts w:hint="eastAsia" w:ascii="宋体" w:hAnsi="宋体"/>
              </w:rPr>
              <w:t>.0分；</w:t>
            </w:r>
          </w:p>
          <w:p>
            <w:pPr>
              <w:spacing w:line="320" w:lineRule="exact"/>
              <w:rPr>
                <w:rFonts w:ascii="宋体" w:hAnsi="宋体"/>
              </w:rPr>
            </w:pPr>
            <w:r>
              <w:rPr>
                <w:rFonts w:hint="eastAsia" w:ascii="宋体" w:hAnsi="宋体"/>
              </w:rPr>
              <w:t>保证措施较具体、较合理，得</w:t>
            </w:r>
            <w:r>
              <w:rPr>
                <w:rFonts w:ascii="宋体" w:hAnsi="宋体"/>
              </w:rPr>
              <w:t>1.8</w:t>
            </w:r>
            <w:r>
              <w:rPr>
                <w:rFonts w:hint="eastAsia" w:ascii="宋体" w:hAnsi="宋体"/>
              </w:rPr>
              <w:t>（不含）-</w:t>
            </w:r>
            <w:r>
              <w:rPr>
                <w:rFonts w:ascii="宋体" w:hAnsi="宋体"/>
              </w:rPr>
              <w:t>2.4</w:t>
            </w:r>
            <w:r>
              <w:rPr>
                <w:rFonts w:hint="eastAsia" w:ascii="宋体" w:hAnsi="宋体"/>
              </w:rPr>
              <w:t>（含）分；</w:t>
            </w:r>
          </w:p>
          <w:p>
            <w:pPr>
              <w:snapToGrid w:val="0"/>
              <w:rPr>
                <w:rFonts w:ascii="宋体" w:hAnsi="宋体"/>
                <w:sz w:val="20"/>
                <w:szCs w:val="20"/>
              </w:rPr>
            </w:pPr>
            <w:r>
              <w:rPr>
                <w:rFonts w:hint="eastAsia" w:ascii="宋体" w:hAnsi="宋体"/>
              </w:rPr>
              <w:t>保证措施一般，得</w:t>
            </w:r>
            <w:r>
              <w:rPr>
                <w:rFonts w:ascii="宋体" w:hAnsi="宋体"/>
              </w:rPr>
              <w:t>1.8</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napToGrid w:val="0"/>
              <w:jc w:val="center"/>
              <w:rPr>
                <w:rFonts w:ascii="宋体" w:hAnsi="宋体"/>
                <w:sz w:val="20"/>
                <w:szCs w:val="20"/>
              </w:rPr>
            </w:pPr>
            <w:r>
              <w:rPr>
                <w:rFonts w:hint="eastAsia" w:ascii="宋体" w:hAnsi="宋体"/>
              </w:rPr>
              <w:t>设计工作的重点、难点分析</w:t>
            </w:r>
          </w:p>
        </w:tc>
        <w:tc>
          <w:tcPr>
            <w:tcW w:w="708" w:type="dxa"/>
            <w:vAlign w:val="center"/>
          </w:tcPr>
          <w:p>
            <w:pPr>
              <w:snapToGrid w:val="0"/>
              <w:jc w:val="center"/>
              <w:rPr>
                <w:rFonts w:ascii="宋体" w:hAnsi="宋体"/>
                <w:sz w:val="20"/>
                <w:szCs w:val="20"/>
              </w:rPr>
            </w:pPr>
            <w:r>
              <w:rPr>
                <w:rFonts w:ascii="宋体" w:hAnsi="宋体"/>
              </w:rPr>
              <w:t>3</w:t>
            </w:r>
            <w:r>
              <w:rPr>
                <w:rFonts w:hint="eastAsia" w:ascii="宋体" w:hAnsi="宋体"/>
              </w:rPr>
              <w:t>分</w:t>
            </w:r>
          </w:p>
        </w:tc>
        <w:tc>
          <w:tcPr>
            <w:tcW w:w="4536" w:type="dxa"/>
            <w:vAlign w:val="center"/>
          </w:tcPr>
          <w:p>
            <w:pPr>
              <w:spacing w:line="320" w:lineRule="exact"/>
              <w:rPr>
                <w:rFonts w:ascii="宋体" w:hAnsi="宋体"/>
              </w:rPr>
            </w:pPr>
            <w:r>
              <w:rPr>
                <w:rFonts w:hint="eastAsia" w:ascii="宋体" w:hAnsi="宋体"/>
              </w:rPr>
              <w:t>分析透彻，把握准确，指导性强，得</w:t>
            </w:r>
            <w:r>
              <w:rPr>
                <w:rFonts w:ascii="宋体" w:hAnsi="宋体"/>
              </w:rPr>
              <w:t>2.4</w:t>
            </w:r>
            <w:r>
              <w:rPr>
                <w:rFonts w:hint="eastAsia" w:ascii="宋体" w:hAnsi="宋体"/>
              </w:rPr>
              <w:t>（不含）-</w:t>
            </w:r>
            <w:r>
              <w:rPr>
                <w:rFonts w:ascii="宋体" w:hAnsi="宋体"/>
              </w:rPr>
              <w:t>3</w:t>
            </w:r>
            <w:r>
              <w:rPr>
                <w:rFonts w:hint="eastAsia" w:ascii="宋体" w:hAnsi="宋体"/>
              </w:rPr>
              <w:t>.0分；</w:t>
            </w:r>
          </w:p>
          <w:p>
            <w:pPr>
              <w:spacing w:line="320" w:lineRule="exact"/>
              <w:rPr>
                <w:rFonts w:ascii="宋体" w:hAnsi="宋体"/>
              </w:rPr>
            </w:pPr>
            <w:r>
              <w:rPr>
                <w:rFonts w:hint="eastAsia" w:ascii="宋体" w:hAnsi="宋体"/>
              </w:rPr>
              <w:t>分析较透彻，把握较准确，指导性较强，得1.</w:t>
            </w:r>
            <w:r>
              <w:rPr>
                <w:rFonts w:ascii="宋体" w:hAnsi="宋体"/>
              </w:rPr>
              <w:t>8</w:t>
            </w:r>
            <w:r>
              <w:rPr>
                <w:rFonts w:hint="eastAsia" w:ascii="宋体" w:hAnsi="宋体"/>
              </w:rPr>
              <w:t>（不含）-</w:t>
            </w:r>
            <w:r>
              <w:rPr>
                <w:rFonts w:ascii="宋体" w:hAnsi="宋体"/>
              </w:rPr>
              <w:t>2.4</w:t>
            </w:r>
            <w:r>
              <w:rPr>
                <w:rFonts w:hint="eastAsia" w:ascii="宋体" w:hAnsi="宋体"/>
              </w:rPr>
              <w:t>（含）分；</w:t>
            </w:r>
          </w:p>
          <w:p>
            <w:pPr>
              <w:snapToGrid w:val="0"/>
              <w:rPr>
                <w:rFonts w:ascii="宋体" w:hAnsi="宋体"/>
                <w:sz w:val="20"/>
                <w:szCs w:val="20"/>
              </w:rPr>
            </w:pPr>
            <w:r>
              <w:rPr>
                <w:rFonts w:hint="eastAsia" w:ascii="宋体" w:hAnsi="宋体"/>
              </w:rPr>
              <w:t>分析一般，指导性一般，得1.</w:t>
            </w:r>
            <w:r>
              <w:rPr>
                <w:rFonts w:ascii="宋体" w:hAnsi="宋体"/>
              </w:rPr>
              <w:t>8</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napToGrid w:val="0"/>
              <w:jc w:val="center"/>
              <w:rPr>
                <w:rFonts w:ascii="宋体" w:hAnsi="宋体" w:cs="宋体"/>
                <w:sz w:val="20"/>
                <w:szCs w:val="20"/>
              </w:rPr>
            </w:pPr>
            <w:r>
              <w:rPr>
                <w:rFonts w:hint="eastAsia" w:ascii="宋体" w:hAnsi="宋体"/>
              </w:rPr>
              <w:t>设计文件的优化建议</w:t>
            </w:r>
          </w:p>
        </w:tc>
        <w:tc>
          <w:tcPr>
            <w:tcW w:w="708" w:type="dxa"/>
            <w:vAlign w:val="center"/>
          </w:tcPr>
          <w:p>
            <w:pPr>
              <w:snapToGrid w:val="0"/>
              <w:jc w:val="center"/>
              <w:rPr>
                <w:rFonts w:ascii="宋体" w:hAnsi="宋体" w:cs="宋体"/>
                <w:sz w:val="20"/>
                <w:szCs w:val="20"/>
              </w:rPr>
            </w:pPr>
            <w:r>
              <w:rPr>
                <w:rFonts w:hint="eastAsia" w:ascii="宋体" w:hAnsi="宋体"/>
              </w:rPr>
              <w:t>2分</w:t>
            </w:r>
          </w:p>
        </w:tc>
        <w:tc>
          <w:tcPr>
            <w:tcW w:w="4536" w:type="dxa"/>
            <w:vAlign w:val="center"/>
          </w:tcPr>
          <w:p>
            <w:pPr>
              <w:ind w:right="-105" w:rightChars="-50"/>
              <w:jc w:val="left"/>
              <w:rPr>
                <w:rFonts w:ascii="宋体" w:hAnsi="宋体"/>
              </w:rPr>
            </w:pPr>
            <w:r>
              <w:rPr>
                <w:rFonts w:hint="eastAsia" w:ascii="宋体" w:hAnsi="宋体"/>
              </w:rPr>
              <w:t>优化建议科学、有效，关键技术问题对策明确、合理，得1.6（不含）-2.0分；</w:t>
            </w:r>
          </w:p>
          <w:p>
            <w:pPr>
              <w:ind w:right="-105" w:rightChars="-50"/>
              <w:jc w:val="left"/>
              <w:rPr>
                <w:rFonts w:ascii="宋体" w:hAnsi="宋体"/>
              </w:rPr>
            </w:pPr>
            <w:r>
              <w:rPr>
                <w:rFonts w:hint="eastAsia" w:ascii="宋体" w:hAnsi="宋体"/>
              </w:rPr>
              <w:t>优化建议较科学，关键技术问题对策较合理，得1.2（不含）-1.6（含）分；</w:t>
            </w:r>
          </w:p>
          <w:p>
            <w:pPr>
              <w:snapToGrid w:val="0"/>
              <w:rPr>
                <w:rFonts w:ascii="宋体" w:hAnsi="宋体" w:cs="宋体"/>
                <w:sz w:val="20"/>
                <w:szCs w:val="20"/>
              </w:rPr>
            </w:pPr>
            <w:r>
              <w:rPr>
                <w:rFonts w:hint="eastAsia" w:ascii="宋体" w:hAnsi="宋体"/>
              </w:rPr>
              <w:t>优化建议一般，关键技术问题对策基本合理，得1.2分。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pacing w:line="320" w:lineRule="exact"/>
              <w:jc w:val="center"/>
              <w:rPr>
                <w:rFonts w:ascii="宋体" w:hAnsi="宋体"/>
                <w:sz w:val="20"/>
                <w:szCs w:val="20"/>
              </w:rPr>
            </w:pPr>
            <w:r>
              <w:rPr>
                <w:rFonts w:hint="eastAsia" w:ascii="宋体" w:hAnsi="宋体"/>
                <w:sz w:val="20"/>
                <w:szCs w:val="20"/>
              </w:rPr>
              <w:t>2</w:t>
            </w:r>
            <w:r>
              <w:rPr>
                <w:rFonts w:ascii="宋体" w:hAnsi="宋体"/>
                <w:sz w:val="20"/>
                <w:szCs w:val="20"/>
              </w:rPr>
              <w:t>.2.4</w:t>
            </w:r>
            <w:r>
              <w:rPr>
                <w:rFonts w:hint="eastAsia" w:ascii="宋体" w:hAnsi="宋体"/>
                <w:sz w:val="20"/>
                <w:szCs w:val="20"/>
              </w:rPr>
              <w:t>（</w:t>
            </w:r>
            <w:r>
              <w:rPr>
                <w:rFonts w:ascii="宋体" w:hAnsi="宋体"/>
                <w:sz w:val="20"/>
                <w:szCs w:val="20"/>
              </w:rPr>
              <w:t>2</w:t>
            </w:r>
            <w:r>
              <w:rPr>
                <w:rFonts w:hint="eastAsia" w:ascii="宋体" w:hAnsi="宋体"/>
                <w:sz w:val="20"/>
                <w:szCs w:val="20"/>
              </w:rPr>
              <w:t>）</w:t>
            </w:r>
          </w:p>
        </w:tc>
        <w:tc>
          <w:tcPr>
            <w:tcW w:w="1000" w:type="dxa"/>
            <w:vMerge w:val="restart"/>
            <w:vAlign w:val="center"/>
          </w:tcPr>
          <w:p>
            <w:pPr>
              <w:spacing w:line="320" w:lineRule="exact"/>
              <w:ind w:left="-78" w:leftChars="-37" w:right="-120" w:rightChars="-57"/>
              <w:jc w:val="center"/>
              <w:rPr>
                <w:rFonts w:ascii="宋体" w:hAnsi="宋体"/>
                <w:sz w:val="20"/>
                <w:szCs w:val="20"/>
              </w:rPr>
            </w:pPr>
            <w:r>
              <w:rPr>
                <w:rFonts w:hint="eastAsia" w:ascii="宋体" w:hAnsi="宋体"/>
                <w:sz w:val="20"/>
                <w:szCs w:val="20"/>
              </w:rPr>
              <w:t>承包人实施方案（暗标）</w:t>
            </w:r>
          </w:p>
        </w:tc>
        <w:tc>
          <w:tcPr>
            <w:tcW w:w="691" w:type="dxa"/>
            <w:vMerge w:val="restart"/>
            <w:vAlign w:val="center"/>
          </w:tcPr>
          <w:p>
            <w:pPr>
              <w:spacing w:line="320" w:lineRule="exact"/>
              <w:jc w:val="center"/>
              <w:rPr>
                <w:rFonts w:ascii="宋体" w:hAnsi="宋体"/>
                <w:sz w:val="20"/>
                <w:szCs w:val="20"/>
              </w:rPr>
            </w:pPr>
            <w:r>
              <w:rPr>
                <w:rFonts w:ascii="宋体" w:hAnsi="宋体"/>
                <w:sz w:val="20"/>
                <w:szCs w:val="20"/>
              </w:rPr>
              <w:t>20</w:t>
            </w:r>
            <w:r>
              <w:rPr>
                <w:rFonts w:hint="eastAsia" w:ascii="宋体" w:hAnsi="宋体"/>
                <w:sz w:val="20"/>
                <w:szCs w:val="20"/>
              </w:rPr>
              <w:t>分</w:t>
            </w:r>
          </w:p>
        </w:tc>
        <w:tc>
          <w:tcPr>
            <w:tcW w:w="1450" w:type="dxa"/>
            <w:vAlign w:val="center"/>
          </w:tcPr>
          <w:p>
            <w:pPr>
              <w:spacing w:line="440" w:lineRule="exact"/>
              <w:jc w:val="center"/>
              <w:rPr>
                <w:rFonts w:ascii="宋体" w:hAnsi="宋体"/>
                <w:szCs w:val="21"/>
              </w:rPr>
            </w:pPr>
            <w:r>
              <w:rPr>
                <w:rFonts w:hint="eastAsia" w:ascii="宋体" w:hAnsi="宋体"/>
                <w:szCs w:val="21"/>
              </w:rPr>
              <w:t>总承包管理</w:t>
            </w:r>
          </w:p>
          <w:p>
            <w:pPr>
              <w:spacing w:line="320" w:lineRule="exact"/>
              <w:jc w:val="center"/>
              <w:rPr>
                <w:rFonts w:ascii="宋体" w:hAnsi="宋体"/>
                <w:sz w:val="20"/>
                <w:szCs w:val="20"/>
              </w:rPr>
            </w:pPr>
            <w:r>
              <w:rPr>
                <w:rFonts w:hint="eastAsia" w:ascii="宋体" w:hAnsi="宋体"/>
                <w:szCs w:val="21"/>
              </w:rPr>
              <w:t>方案</w:t>
            </w:r>
          </w:p>
        </w:tc>
        <w:tc>
          <w:tcPr>
            <w:tcW w:w="708" w:type="dxa"/>
            <w:vAlign w:val="center"/>
          </w:tcPr>
          <w:p>
            <w:pPr>
              <w:jc w:val="center"/>
              <w:rPr>
                <w:rFonts w:ascii="宋体" w:hAnsi="宋体"/>
                <w:sz w:val="20"/>
                <w:szCs w:val="20"/>
              </w:rPr>
            </w:pPr>
            <w:r>
              <w:rPr>
                <w:rFonts w:hint="eastAsia" w:ascii="宋体" w:hAnsi="宋体"/>
              </w:rPr>
              <w:t>3分</w:t>
            </w:r>
          </w:p>
        </w:tc>
        <w:tc>
          <w:tcPr>
            <w:tcW w:w="4536" w:type="dxa"/>
            <w:vAlign w:val="center"/>
          </w:tcPr>
          <w:p>
            <w:pPr>
              <w:spacing w:line="320" w:lineRule="exact"/>
              <w:rPr>
                <w:rFonts w:ascii="宋体" w:hAnsi="宋体"/>
              </w:rPr>
            </w:pPr>
            <w:r>
              <w:rPr>
                <w:rFonts w:hint="eastAsia" w:ascii="宋体" w:hAnsi="宋体"/>
              </w:rPr>
              <w:t>内容完整，编制科学合理，指导性强，得2.4（不含）-3.0分；</w:t>
            </w:r>
          </w:p>
          <w:p>
            <w:pPr>
              <w:spacing w:line="320" w:lineRule="exact"/>
              <w:rPr>
                <w:rFonts w:ascii="宋体" w:hAnsi="宋体"/>
              </w:rPr>
            </w:pPr>
            <w:r>
              <w:rPr>
                <w:rFonts w:hint="eastAsia" w:ascii="宋体" w:hAnsi="宋体"/>
              </w:rPr>
              <w:t>内容较完整，编制较合理，指导性较强，得1.8（不含）-2.4（含）分；</w:t>
            </w:r>
          </w:p>
          <w:p>
            <w:pPr>
              <w:widowControl/>
              <w:snapToGrid w:val="0"/>
              <w:spacing w:line="280" w:lineRule="exact"/>
              <w:rPr>
                <w:rFonts w:ascii="宋体" w:hAnsi="宋体"/>
                <w:sz w:val="20"/>
                <w:szCs w:val="20"/>
              </w:rPr>
            </w:pPr>
            <w:r>
              <w:rPr>
                <w:rFonts w:hint="eastAsia" w:ascii="宋体" w:hAnsi="宋体"/>
              </w:rPr>
              <w:t>内容基本完整，编制基本合理，指导性一般，得1.8分。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sz w:val="20"/>
                <w:szCs w:val="20"/>
              </w:rPr>
            </w:pPr>
            <w:r>
              <w:rPr>
                <w:rFonts w:hint="eastAsia" w:ascii="宋体" w:hAnsi="宋体"/>
              </w:rPr>
              <w:t>总体施工组织布置及规划</w:t>
            </w:r>
          </w:p>
        </w:tc>
        <w:tc>
          <w:tcPr>
            <w:tcW w:w="708" w:type="dxa"/>
            <w:vAlign w:val="center"/>
          </w:tcPr>
          <w:p>
            <w:pPr>
              <w:jc w:val="center"/>
              <w:rPr>
                <w:rFonts w:ascii="宋体" w:hAnsi="宋体"/>
                <w:sz w:val="20"/>
                <w:szCs w:val="20"/>
              </w:rPr>
            </w:pPr>
            <w:r>
              <w:rPr>
                <w:rFonts w:hint="eastAsia" w:ascii="宋体" w:hAnsi="宋体"/>
              </w:rPr>
              <w:t>2分</w:t>
            </w:r>
          </w:p>
        </w:tc>
        <w:tc>
          <w:tcPr>
            <w:tcW w:w="4536" w:type="dxa"/>
          </w:tcPr>
          <w:p>
            <w:pPr>
              <w:spacing w:line="320" w:lineRule="exact"/>
              <w:rPr>
                <w:rFonts w:ascii="宋体" w:hAnsi="宋体"/>
              </w:rPr>
            </w:pPr>
            <w:r>
              <w:rPr>
                <w:rFonts w:hint="eastAsia" w:ascii="宋体" w:hAnsi="宋体"/>
              </w:rPr>
              <w:t>组织布置完备，规划详细具体、全面合理，得1.6（不含）-2.0分；</w:t>
            </w:r>
          </w:p>
          <w:p>
            <w:pPr>
              <w:spacing w:line="320" w:lineRule="exact"/>
              <w:rPr>
                <w:rFonts w:ascii="宋体" w:hAnsi="宋体"/>
              </w:rPr>
            </w:pPr>
            <w:r>
              <w:rPr>
                <w:rFonts w:hint="eastAsia" w:ascii="宋体" w:hAnsi="宋体"/>
              </w:rPr>
              <w:t>组织布置较完备，规划较具体、较合理，得1.2（不含）-1.6（含）分；</w:t>
            </w:r>
          </w:p>
          <w:p>
            <w:pPr>
              <w:widowControl/>
              <w:snapToGrid w:val="0"/>
              <w:spacing w:line="280" w:lineRule="exact"/>
              <w:jc w:val="left"/>
              <w:rPr>
                <w:rFonts w:ascii="宋体" w:hAnsi="宋体"/>
                <w:sz w:val="20"/>
                <w:szCs w:val="20"/>
              </w:rPr>
            </w:pPr>
            <w:r>
              <w:rPr>
                <w:rFonts w:hint="eastAsia" w:ascii="宋体" w:hAnsi="宋体"/>
              </w:rPr>
              <w:t>组织布置一般，规划基本合理，得1.2分。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主要工程项目的施工方案、方法与技术措施</w:t>
            </w:r>
          </w:p>
        </w:tc>
        <w:tc>
          <w:tcPr>
            <w:tcW w:w="708" w:type="dxa"/>
            <w:vAlign w:val="center"/>
          </w:tcPr>
          <w:p>
            <w:pPr>
              <w:jc w:val="center"/>
              <w:rPr>
                <w:rFonts w:ascii="宋体" w:hAnsi="宋体" w:cs="宋体"/>
                <w:sz w:val="20"/>
                <w:szCs w:val="20"/>
              </w:rPr>
            </w:pPr>
            <w:r>
              <w:rPr>
                <w:rFonts w:hint="eastAsia" w:ascii="宋体" w:hAnsi="宋体"/>
              </w:rPr>
              <w:t>2分</w:t>
            </w:r>
          </w:p>
        </w:tc>
        <w:tc>
          <w:tcPr>
            <w:tcW w:w="4536" w:type="dxa"/>
          </w:tcPr>
          <w:p>
            <w:pPr>
              <w:spacing w:line="320" w:lineRule="exact"/>
              <w:rPr>
                <w:rFonts w:ascii="宋体" w:hAnsi="宋体"/>
              </w:rPr>
            </w:pPr>
            <w:r>
              <w:rPr>
                <w:rFonts w:hint="eastAsia" w:ascii="宋体" w:hAnsi="宋体"/>
              </w:rPr>
              <w:t>方案详尽，措施合理，可行性较强，得1.6（不含）-2分；</w:t>
            </w:r>
          </w:p>
          <w:p>
            <w:pPr>
              <w:spacing w:line="320" w:lineRule="exact"/>
              <w:rPr>
                <w:rFonts w:ascii="宋体" w:hAnsi="宋体"/>
              </w:rPr>
            </w:pPr>
            <w:r>
              <w:rPr>
                <w:rFonts w:hint="eastAsia" w:ascii="宋体" w:hAnsi="宋体"/>
              </w:rPr>
              <w:t>方案较详尽，措施较合理，可行性较强，得1.2（不含）-1.6（含）分；</w:t>
            </w:r>
          </w:p>
          <w:p>
            <w:pPr>
              <w:spacing w:line="320" w:lineRule="exact"/>
              <w:rPr>
                <w:rFonts w:ascii="宋体" w:hAnsi="宋体" w:cs="宋体"/>
                <w:sz w:val="20"/>
                <w:szCs w:val="20"/>
              </w:rPr>
            </w:pPr>
            <w:r>
              <w:rPr>
                <w:rFonts w:hint="eastAsia" w:ascii="宋体" w:hAnsi="宋体"/>
              </w:rPr>
              <w:t>方案一般，措施基本合理，可行性一般，得1.2分。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szCs w:val="21"/>
              </w:rPr>
              <w:t>交通组织方案及保证措施</w:t>
            </w:r>
          </w:p>
        </w:tc>
        <w:tc>
          <w:tcPr>
            <w:tcW w:w="708" w:type="dxa"/>
            <w:vAlign w:val="center"/>
          </w:tcPr>
          <w:p>
            <w:pPr>
              <w:jc w:val="center"/>
              <w:rPr>
                <w:rFonts w:ascii="宋体" w:hAnsi="宋体" w:cs="宋体"/>
                <w:sz w:val="20"/>
                <w:szCs w:val="20"/>
              </w:rPr>
            </w:pPr>
            <w:r>
              <w:rPr>
                <w:rFonts w:hint="eastAsia" w:ascii="宋体" w:hAnsi="宋体"/>
                <w:szCs w:val="21"/>
              </w:rPr>
              <w:t>4分</w:t>
            </w:r>
          </w:p>
        </w:tc>
        <w:tc>
          <w:tcPr>
            <w:tcW w:w="4536" w:type="dxa"/>
          </w:tcPr>
          <w:p>
            <w:pPr>
              <w:rPr>
                <w:rFonts w:ascii="宋体" w:hAnsi="宋体"/>
                <w:szCs w:val="21"/>
              </w:rPr>
            </w:pPr>
            <w:r>
              <w:rPr>
                <w:rFonts w:hint="eastAsia" w:ascii="宋体" w:hAnsi="宋体"/>
                <w:szCs w:val="21"/>
              </w:rPr>
              <w:t>体系完备，保证措施具体、全面合理，得3.2（不含）-4.0分；</w:t>
            </w:r>
          </w:p>
          <w:p>
            <w:pPr>
              <w:rPr>
                <w:rFonts w:ascii="宋体" w:hAnsi="宋体"/>
                <w:szCs w:val="21"/>
              </w:rPr>
            </w:pPr>
            <w:r>
              <w:rPr>
                <w:rFonts w:hint="eastAsia" w:ascii="宋体" w:hAnsi="宋体"/>
                <w:szCs w:val="21"/>
              </w:rPr>
              <w:t>体系较完备，措施较具体，得2.4（不含）-3.2（含）分；</w:t>
            </w:r>
          </w:p>
          <w:p>
            <w:pPr>
              <w:spacing w:line="320" w:lineRule="exact"/>
              <w:rPr>
                <w:rFonts w:ascii="宋体" w:hAnsi="宋体" w:cs="宋体"/>
                <w:sz w:val="20"/>
                <w:szCs w:val="20"/>
              </w:rPr>
            </w:pPr>
            <w:r>
              <w:rPr>
                <w:rFonts w:hint="eastAsia" w:ascii="宋体" w:hAnsi="宋体"/>
                <w:szCs w:val="21"/>
              </w:rPr>
              <w:t>方案一般，措施基本合理，可行性一般，得2.4分。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工期保证体系及保证措施</w:t>
            </w:r>
          </w:p>
        </w:tc>
        <w:tc>
          <w:tcPr>
            <w:tcW w:w="708" w:type="dxa"/>
            <w:vAlign w:val="center"/>
          </w:tcPr>
          <w:p>
            <w:pPr>
              <w:jc w:val="center"/>
              <w:rPr>
                <w:rFonts w:ascii="宋体" w:hAnsi="宋体" w:cs="宋体"/>
                <w:sz w:val="20"/>
                <w:szCs w:val="20"/>
              </w:rPr>
            </w:pPr>
            <w:r>
              <w:rPr>
                <w:rFonts w:hint="eastAsia" w:ascii="宋体" w:hAnsi="宋体"/>
              </w:rPr>
              <w:t>2分</w:t>
            </w:r>
          </w:p>
        </w:tc>
        <w:tc>
          <w:tcPr>
            <w:tcW w:w="4536" w:type="dxa"/>
          </w:tcPr>
          <w:p>
            <w:pPr>
              <w:spacing w:line="320" w:lineRule="exact"/>
              <w:rPr>
                <w:rFonts w:ascii="宋体" w:hAnsi="宋体"/>
              </w:rPr>
            </w:pPr>
            <w:r>
              <w:rPr>
                <w:rFonts w:hint="eastAsia" w:ascii="宋体" w:hAnsi="宋体"/>
              </w:rPr>
              <w:t>体系完备，保证措施具体、全面合理，得1.6（不含）-2.0分；</w:t>
            </w:r>
          </w:p>
          <w:p>
            <w:pPr>
              <w:spacing w:line="320" w:lineRule="exact"/>
              <w:rPr>
                <w:rFonts w:ascii="宋体" w:hAnsi="宋体"/>
              </w:rPr>
            </w:pPr>
            <w:r>
              <w:rPr>
                <w:rFonts w:hint="eastAsia" w:ascii="宋体" w:hAnsi="宋体"/>
              </w:rPr>
              <w:t>体系较完备，措施较具体，得1.2（不含）-1.6（含）分；</w:t>
            </w:r>
          </w:p>
          <w:p>
            <w:pPr>
              <w:spacing w:line="320" w:lineRule="exact"/>
              <w:rPr>
                <w:rFonts w:ascii="宋体" w:hAnsi="宋体" w:cs="宋体"/>
                <w:sz w:val="20"/>
                <w:szCs w:val="20"/>
              </w:rPr>
            </w:pPr>
            <w:r>
              <w:rPr>
                <w:rFonts w:hint="eastAsia" w:ascii="宋体" w:hAnsi="宋体"/>
              </w:rPr>
              <w:t>体系基本完备，保证措施一般，得1.2分。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工程质量管理体系及保证措施</w:t>
            </w:r>
          </w:p>
        </w:tc>
        <w:tc>
          <w:tcPr>
            <w:tcW w:w="708" w:type="dxa"/>
            <w:vAlign w:val="center"/>
          </w:tcPr>
          <w:p>
            <w:pPr>
              <w:jc w:val="center"/>
              <w:rPr>
                <w:rFonts w:ascii="宋体" w:hAnsi="宋体" w:cs="宋体"/>
                <w:sz w:val="20"/>
                <w:szCs w:val="20"/>
              </w:rPr>
            </w:pPr>
            <w:r>
              <w:rPr>
                <w:rFonts w:hint="eastAsia" w:ascii="宋体" w:hAnsi="宋体"/>
              </w:rPr>
              <w:t>2分</w:t>
            </w:r>
          </w:p>
        </w:tc>
        <w:tc>
          <w:tcPr>
            <w:tcW w:w="4536" w:type="dxa"/>
          </w:tcPr>
          <w:p>
            <w:pPr>
              <w:spacing w:line="320" w:lineRule="exact"/>
              <w:rPr>
                <w:rFonts w:ascii="宋体" w:hAnsi="宋体"/>
              </w:rPr>
            </w:pPr>
            <w:r>
              <w:rPr>
                <w:rFonts w:hint="eastAsia" w:ascii="宋体" w:hAnsi="宋体"/>
              </w:rPr>
              <w:t>体系完备，保证措施具体、全面合理，得1.6（不含）-2.0分；</w:t>
            </w:r>
          </w:p>
          <w:p>
            <w:pPr>
              <w:spacing w:line="320" w:lineRule="exact"/>
              <w:rPr>
                <w:rFonts w:ascii="宋体" w:hAnsi="宋体"/>
              </w:rPr>
            </w:pPr>
            <w:r>
              <w:rPr>
                <w:rFonts w:hint="eastAsia" w:ascii="宋体" w:hAnsi="宋体"/>
              </w:rPr>
              <w:t>体系较完备，措施较具体，得1.2（不含）-1.6（含）分；</w:t>
            </w:r>
          </w:p>
          <w:p>
            <w:pPr>
              <w:spacing w:line="320" w:lineRule="exact"/>
              <w:rPr>
                <w:rFonts w:ascii="宋体" w:hAnsi="宋体" w:cs="宋体"/>
                <w:sz w:val="20"/>
                <w:szCs w:val="20"/>
              </w:rPr>
            </w:pPr>
            <w:r>
              <w:rPr>
                <w:rFonts w:hint="eastAsia" w:ascii="宋体" w:hAnsi="宋体"/>
              </w:rPr>
              <w:t>体系基本完备，保证措施一般，得1.2分。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安全生产管理体系及保证措施</w:t>
            </w:r>
          </w:p>
        </w:tc>
        <w:tc>
          <w:tcPr>
            <w:tcW w:w="708" w:type="dxa"/>
            <w:vAlign w:val="center"/>
          </w:tcPr>
          <w:p>
            <w:pPr>
              <w:jc w:val="center"/>
              <w:rPr>
                <w:rFonts w:ascii="宋体" w:hAnsi="宋体" w:cs="宋体"/>
                <w:sz w:val="20"/>
                <w:szCs w:val="20"/>
              </w:rPr>
            </w:pPr>
            <w:r>
              <w:rPr>
                <w:rFonts w:hint="eastAsia" w:ascii="宋体" w:hAnsi="宋体"/>
              </w:rPr>
              <w:t>2分</w:t>
            </w:r>
          </w:p>
        </w:tc>
        <w:tc>
          <w:tcPr>
            <w:tcW w:w="4536" w:type="dxa"/>
          </w:tcPr>
          <w:p>
            <w:pPr>
              <w:spacing w:line="320" w:lineRule="exact"/>
              <w:rPr>
                <w:rFonts w:ascii="宋体" w:hAnsi="宋体"/>
              </w:rPr>
            </w:pPr>
            <w:r>
              <w:rPr>
                <w:rFonts w:hint="eastAsia" w:ascii="宋体" w:hAnsi="宋体"/>
              </w:rPr>
              <w:t>体系完备，保证措施具体、全面合理，得1.6（不含）-2.0分；</w:t>
            </w:r>
          </w:p>
          <w:p>
            <w:pPr>
              <w:spacing w:line="320" w:lineRule="exact"/>
              <w:rPr>
                <w:rFonts w:ascii="宋体" w:hAnsi="宋体"/>
              </w:rPr>
            </w:pPr>
            <w:r>
              <w:rPr>
                <w:rFonts w:hint="eastAsia" w:ascii="宋体" w:hAnsi="宋体"/>
              </w:rPr>
              <w:t>体系较完备，措施较具体，得1.2（不含）-1.6（含）分；</w:t>
            </w:r>
          </w:p>
          <w:p>
            <w:pPr>
              <w:spacing w:line="320" w:lineRule="exact"/>
              <w:rPr>
                <w:rFonts w:ascii="宋体" w:hAnsi="宋体" w:cs="宋体"/>
                <w:sz w:val="20"/>
                <w:szCs w:val="20"/>
              </w:rPr>
            </w:pPr>
            <w:r>
              <w:rPr>
                <w:rFonts w:hint="eastAsia" w:ascii="宋体" w:hAnsi="宋体"/>
              </w:rPr>
              <w:t>体系基本完备，保证措施一般，得1.2分。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环境保护、水土保持保证体系及保证措施</w:t>
            </w:r>
          </w:p>
        </w:tc>
        <w:tc>
          <w:tcPr>
            <w:tcW w:w="708" w:type="dxa"/>
            <w:vAlign w:val="center"/>
          </w:tcPr>
          <w:p>
            <w:pPr>
              <w:jc w:val="center"/>
              <w:rPr>
                <w:rFonts w:ascii="宋体" w:hAnsi="宋体" w:cs="宋体"/>
                <w:sz w:val="20"/>
                <w:szCs w:val="20"/>
              </w:rPr>
            </w:pPr>
            <w:r>
              <w:rPr>
                <w:rFonts w:hint="eastAsia" w:ascii="宋体" w:hAnsi="宋体"/>
              </w:rPr>
              <w:t>1分</w:t>
            </w:r>
          </w:p>
        </w:tc>
        <w:tc>
          <w:tcPr>
            <w:tcW w:w="4536" w:type="dxa"/>
          </w:tcPr>
          <w:p>
            <w:pPr>
              <w:spacing w:line="320" w:lineRule="exact"/>
              <w:rPr>
                <w:rFonts w:ascii="宋体" w:hAnsi="宋体"/>
              </w:rPr>
            </w:pPr>
            <w:r>
              <w:rPr>
                <w:rFonts w:hint="eastAsia" w:ascii="宋体" w:hAnsi="宋体"/>
              </w:rPr>
              <w:t>体系完备，保证措施具体、全面合理，得0.8（不含）-1.0分；</w:t>
            </w:r>
          </w:p>
          <w:p>
            <w:pPr>
              <w:spacing w:line="320" w:lineRule="exact"/>
              <w:rPr>
                <w:rFonts w:ascii="宋体" w:hAnsi="宋体"/>
              </w:rPr>
            </w:pPr>
            <w:r>
              <w:rPr>
                <w:rFonts w:hint="eastAsia" w:ascii="宋体" w:hAnsi="宋体"/>
              </w:rPr>
              <w:t>体系较完备，措施较具体，得0.6（不含）-0.8（含）分；</w:t>
            </w:r>
          </w:p>
          <w:p>
            <w:pPr>
              <w:spacing w:line="320" w:lineRule="exact"/>
              <w:rPr>
                <w:rFonts w:ascii="宋体" w:hAnsi="宋体" w:cs="宋体"/>
                <w:sz w:val="20"/>
                <w:szCs w:val="20"/>
              </w:rPr>
            </w:pPr>
            <w:r>
              <w:rPr>
                <w:rFonts w:hint="eastAsia" w:ascii="宋体" w:hAnsi="宋体"/>
              </w:rPr>
              <w:t>体系基本完备，保证措施一般，得0.6分。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文明施工、文物保护保证体系及保证措施</w:t>
            </w:r>
          </w:p>
        </w:tc>
        <w:tc>
          <w:tcPr>
            <w:tcW w:w="708" w:type="dxa"/>
            <w:vAlign w:val="center"/>
          </w:tcPr>
          <w:p>
            <w:pPr>
              <w:jc w:val="center"/>
              <w:rPr>
                <w:rFonts w:ascii="宋体" w:hAnsi="宋体" w:cs="宋体"/>
                <w:sz w:val="20"/>
                <w:szCs w:val="20"/>
              </w:rPr>
            </w:pPr>
            <w:r>
              <w:rPr>
                <w:rFonts w:hint="eastAsia" w:ascii="宋体" w:hAnsi="宋体"/>
              </w:rPr>
              <w:t>1分</w:t>
            </w:r>
          </w:p>
        </w:tc>
        <w:tc>
          <w:tcPr>
            <w:tcW w:w="4536" w:type="dxa"/>
          </w:tcPr>
          <w:p>
            <w:pPr>
              <w:spacing w:line="320" w:lineRule="exact"/>
              <w:rPr>
                <w:rFonts w:ascii="宋体" w:hAnsi="宋体"/>
              </w:rPr>
            </w:pPr>
            <w:r>
              <w:rPr>
                <w:rFonts w:hint="eastAsia" w:ascii="宋体" w:hAnsi="宋体"/>
              </w:rPr>
              <w:t>内容完整，编制科学合理，指导性强，得0.8（不含）-1.0分；</w:t>
            </w:r>
          </w:p>
          <w:p>
            <w:pPr>
              <w:spacing w:line="320" w:lineRule="exact"/>
              <w:rPr>
                <w:rFonts w:ascii="宋体" w:hAnsi="宋体"/>
              </w:rPr>
            </w:pPr>
            <w:r>
              <w:rPr>
                <w:rFonts w:hint="eastAsia" w:ascii="宋体" w:hAnsi="宋体"/>
              </w:rPr>
              <w:t>体系较完备，措施较具体，得0.6（不含）-0.8（含）分；</w:t>
            </w:r>
          </w:p>
          <w:p>
            <w:pPr>
              <w:spacing w:line="320" w:lineRule="exact"/>
              <w:rPr>
                <w:rFonts w:ascii="宋体" w:hAnsi="宋体" w:cs="宋体"/>
                <w:sz w:val="20"/>
                <w:szCs w:val="20"/>
              </w:rPr>
            </w:pPr>
            <w:r>
              <w:rPr>
                <w:rFonts w:hint="eastAsia" w:ascii="宋体" w:hAnsi="宋体"/>
              </w:rPr>
              <w:t>体系基本完备，保证措施一般，得0.6分。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sz w:val="20"/>
                <w:szCs w:val="20"/>
              </w:rPr>
            </w:pPr>
          </w:p>
        </w:tc>
        <w:tc>
          <w:tcPr>
            <w:tcW w:w="1000" w:type="dxa"/>
            <w:vMerge w:val="continue"/>
            <w:vAlign w:val="center"/>
          </w:tcPr>
          <w:p>
            <w:pPr>
              <w:spacing w:line="320" w:lineRule="exact"/>
              <w:jc w:val="center"/>
              <w:rPr>
                <w:rFonts w:ascii="宋体" w:hAnsi="宋体"/>
                <w:sz w:val="20"/>
                <w:szCs w:val="20"/>
              </w:rPr>
            </w:pPr>
          </w:p>
        </w:tc>
        <w:tc>
          <w:tcPr>
            <w:tcW w:w="691" w:type="dxa"/>
            <w:vMerge w:val="continue"/>
            <w:vAlign w:val="center"/>
          </w:tcPr>
          <w:p>
            <w:pPr>
              <w:spacing w:line="320" w:lineRule="exact"/>
              <w:jc w:val="center"/>
              <w:rPr>
                <w:rFonts w:ascii="宋体" w:hAnsi="宋体"/>
                <w:sz w:val="20"/>
                <w:szCs w:val="20"/>
              </w:rPr>
            </w:pPr>
          </w:p>
        </w:tc>
        <w:tc>
          <w:tcPr>
            <w:tcW w:w="1450" w:type="dxa"/>
            <w:vAlign w:val="center"/>
          </w:tcPr>
          <w:p>
            <w:pPr>
              <w:spacing w:line="320" w:lineRule="exact"/>
              <w:jc w:val="center"/>
              <w:rPr>
                <w:rFonts w:ascii="宋体" w:hAnsi="宋体" w:cs="宋体"/>
                <w:sz w:val="20"/>
                <w:szCs w:val="20"/>
              </w:rPr>
            </w:pPr>
            <w:r>
              <w:rPr>
                <w:rFonts w:hint="eastAsia" w:ascii="宋体" w:hAnsi="宋体"/>
              </w:rPr>
              <w:t>项目风险预测与防范，事故应急预案</w:t>
            </w:r>
          </w:p>
        </w:tc>
        <w:tc>
          <w:tcPr>
            <w:tcW w:w="708" w:type="dxa"/>
            <w:vAlign w:val="center"/>
          </w:tcPr>
          <w:p>
            <w:pPr>
              <w:jc w:val="center"/>
              <w:rPr>
                <w:rFonts w:ascii="宋体" w:hAnsi="宋体" w:cs="宋体"/>
                <w:sz w:val="20"/>
                <w:szCs w:val="20"/>
              </w:rPr>
            </w:pPr>
            <w:r>
              <w:rPr>
                <w:rFonts w:hint="eastAsia" w:ascii="宋体" w:hAnsi="宋体"/>
              </w:rPr>
              <w:t>1分</w:t>
            </w:r>
          </w:p>
        </w:tc>
        <w:tc>
          <w:tcPr>
            <w:tcW w:w="4536" w:type="dxa"/>
          </w:tcPr>
          <w:p>
            <w:pPr>
              <w:spacing w:line="320" w:lineRule="exact"/>
              <w:rPr>
                <w:rFonts w:ascii="宋体" w:hAnsi="宋体"/>
              </w:rPr>
            </w:pPr>
            <w:r>
              <w:rPr>
                <w:rFonts w:hint="eastAsia" w:ascii="宋体" w:hAnsi="宋体"/>
              </w:rPr>
              <w:t>分析透彻，把握准确，指导性强，得0.8（不含）-1.0分；</w:t>
            </w:r>
          </w:p>
          <w:p>
            <w:pPr>
              <w:spacing w:line="320" w:lineRule="exact"/>
              <w:rPr>
                <w:rFonts w:ascii="宋体" w:hAnsi="宋体"/>
              </w:rPr>
            </w:pPr>
            <w:r>
              <w:rPr>
                <w:rFonts w:hint="eastAsia" w:ascii="宋体" w:hAnsi="宋体"/>
              </w:rPr>
              <w:t>分析较透彻，把握较准确，指导性较强，得0.6（不含）-0.8（含）分；</w:t>
            </w:r>
          </w:p>
          <w:p>
            <w:pPr>
              <w:spacing w:line="320" w:lineRule="exact"/>
              <w:rPr>
                <w:rFonts w:ascii="宋体" w:hAnsi="宋体" w:cs="宋体"/>
                <w:sz w:val="20"/>
                <w:szCs w:val="20"/>
              </w:rPr>
            </w:pPr>
            <w:r>
              <w:rPr>
                <w:rFonts w:hint="eastAsia" w:ascii="宋体" w:hAnsi="宋体"/>
              </w:rPr>
              <w:t>分析一般，指导性一般，得0.6分。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320" w:lineRule="exact"/>
              <w:jc w:val="center"/>
              <w:rPr>
                <w:rFonts w:ascii="宋体" w:hAnsi="宋体"/>
                <w:sz w:val="20"/>
                <w:szCs w:val="20"/>
              </w:rPr>
            </w:pPr>
            <w:r>
              <w:rPr>
                <w:rFonts w:hint="eastAsia" w:ascii="宋体" w:hAnsi="宋体"/>
                <w:sz w:val="20"/>
                <w:szCs w:val="20"/>
              </w:rPr>
              <w:t>2</w:t>
            </w:r>
            <w:r>
              <w:rPr>
                <w:rFonts w:ascii="宋体" w:hAnsi="宋体"/>
                <w:sz w:val="20"/>
                <w:szCs w:val="20"/>
              </w:rPr>
              <w:t>.2.4</w:t>
            </w:r>
            <w:r>
              <w:rPr>
                <w:rFonts w:hint="eastAsia" w:ascii="宋体" w:hAnsi="宋体"/>
                <w:sz w:val="20"/>
                <w:szCs w:val="20"/>
              </w:rPr>
              <w:t>（</w:t>
            </w:r>
            <w:r>
              <w:rPr>
                <w:rFonts w:ascii="宋体" w:hAnsi="宋体"/>
                <w:sz w:val="20"/>
                <w:szCs w:val="20"/>
              </w:rPr>
              <w:t>3</w:t>
            </w:r>
            <w:r>
              <w:rPr>
                <w:rFonts w:hint="eastAsia" w:ascii="宋体" w:hAnsi="宋体"/>
                <w:sz w:val="20"/>
                <w:szCs w:val="20"/>
              </w:rPr>
              <w:t>）</w:t>
            </w:r>
          </w:p>
        </w:tc>
        <w:tc>
          <w:tcPr>
            <w:tcW w:w="1000" w:type="dxa"/>
            <w:vAlign w:val="center"/>
          </w:tcPr>
          <w:p>
            <w:pPr>
              <w:spacing w:line="320" w:lineRule="exact"/>
              <w:jc w:val="center"/>
              <w:rPr>
                <w:rFonts w:ascii="宋体" w:hAnsi="宋体"/>
                <w:sz w:val="20"/>
                <w:szCs w:val="20"/>
              </w:rPr>
            </w:pPr>
            <w:r>
              <w:rPr>
                <w:rFonts w:hint="eastAsia" w:ascii="宋体" w:hAnsi="宋体"/>
                <w:sz w:val="20"/>
                <w:szCs w:val="20"/>
              </w:rPr>
              <w:t>资信</w:t>
            </w:r>
          </w:p>
          <w:p>
            <w:pPr>
              <w:spacing w:line="320" w:lineRule="exact"/>
              <w:jc w:val="center"/>
              <w:rPr>
                <w:rFonts w:ascii="宋体" w:hAnsi="宋体"/>
                <w:sz w:val="20"/>
                <w:szCs w:val="20"/>
              </w:rPr>
            </w:pPr>
            <w:r>
              <w:rPr>
                <w:rFonts w:hint="eastAsia" w:ascii="宋体" w:hAnsi="宋体"/>
                <w:sz w:val="20"/>
                <w:szCs w:val="20"/>
              </w:rPr>
              <w:t>业绩</w:t>
            </w:r>
          </w:p>
        </w:tc>
        <w:tc>
          <w:tcPr>
            <w:tcW w:w="691" w:type="dxa"/>
            <w:vAlign w:val="center"/>
          </w:tcPr>
          <w:p>
            <w:pPr>
              <w:spacing w:line="320" w:lineRule="exact"/>
              <w:jc w:val="center"/>
              <w:rPr>
                <w:rFonts w:ascii="宋体" w:hAnsi="宋体"/>
                <w:sz w:val="20"/>
                <w:szCs w:val="20"/>
              </w:rPr>
            </w:pPr>
            <w:r>
              <w:rPr>
                <w:rFonts w:ascii="宋体" w:hAnsi="宋体"/>
                <w:sz w:val="20"/>
                <w:szCs w:val="20"/>
              </w:rPr>
              <w:t>5</w:t>
            </w:r>
            <w:r>
              <w:rPr>
                <w:rFonts w:hint="eastAsia" w:ascii="宋体" w:hAnsi="宋体"/>
                <w:sz w:val="20"/>
                <w:szCs w:val="20"/>
              </w:rPr>
              <w:t>分</w:t>
            </w:r>
          </w:p>
        </w:tc>
        <w:tc>
          <w:tcPr>
            <w:tcW w:w="1450" w:type="dxa"/>
            <w:vAlign w:val="center"/>
          </w:tcPr>
          <w:p>
            <w:pPr>
              <w:spacing w:line="320" w:lineRule="exact"/>
              <w:jc w:val="center"/>
              <w:rPr>
                <w:rFonts w:ascii="宋体" w:hAnsi="宋体"/>
              </w:rPr>
            </w:pPr>
            <w:r>
              <w:rPr>
                <w:rFonts w:hint="eastAsia" w:ascii="宋体" w:hAnsi="宋体"/>
                <w:sz w:val="20"/>
                <w:szCs w:val="20"/>
              </w:rPr>
              <w:t>投标人业绩</w:t>
            </w:r>
          </w:p>
        </w:tc>
        <w:tc>
          <w:tcPr>
            <w:tcW w:w="708" w:type="dxa"/>
            <w:vAlign w:val="center"/>
          </w:tcPr>
          <w:p>
            <w:pPr>
              <w:jc w:val="center"/>
              <w:rPr>
                <w:rFonts w:ascii="宋体" w:hAnsi="宋体"/>
              </w:rPr>
            </w:pPr>
            <w:r>
              <w:rPr>
                <w:rFonts w:ascii="宋体" w:hAnsi="宋体"/>
                <w:sz w:val="20"/>
                <w:szCs w:val="20"/>
              </w:rPr>
              <w:t>5</w:t>
            </w:r>
            <w:r>
              <w:rPr>
                <w:rFonts w:hint="eastAsia" w:ascii="宋体" w:hAnsi="宋体"/>
                <w:sz w:val="20"/>
                <w:szCs w:val="20"/>
              </w:rPr>
              <w:t>分</w:t>
            </w:r>
          </w:p>
        </w:tc>
        <w:tc>
          <w:tcPr>
            <w:tcW w:w="4536" w:type="dxa"/>
            <w:vAlign w:val="center"/>
          </w:tcPr>
          <w:p>
            <w:pPr>
              <w:snapToGrid w:val="0"/>
              <w:spacing w:line="280" w:lineRule="exact"/>
              <w:jc w:val="left"/>
              <w:rPr>
                <w:rFonts w:ascii="宋体" w:hAnsi="宋体"/>
                <w:sz w:val="20"/>
                <w:szCs w:val="20"/>
              </w:rPr>
            </w:pPr>
            <w:r>
              <w:rPr>
                <w:rFonts w:hint="eastAsia" w:ascii="宋体" w:hAnsi="宋体"/>
                <w:sz w:val="20"/>
                <w:szCs w:val="20"/>
              </w:rPr>
              <w:t>满足资格审查条件（业绩最低要求）得</w:t>
            </w:r>
            <w:r>
              <w:rPr>
                <w:rFonts w:ascii="宋体" w:hAnsi="宋体"/>
                <w:sz w:val="20"/>
                <w:szCs w:val="20"/>
              </w:rPr>
              <w:t>3</w:t>
            </w:r>
            <w:r>
              <w:rPr>
                <w:rFonts w:hint="eastAsia" w:ascii="宋体" w:hAnsi="宋体"/>
                <w:sz w:val="20"/>
                <w:szCs w:val="20"/>
              </w:rPr>
              <w:t>分；</w:t>
            </w:r>
          </w:p>
          <w:p>
            <w:pPr>
              <w:snapToGrid w:val="0"/>
              <w:spacing w:line="280" w:lineRule="exact"/>
              <w:jc w:val="left"/>
              <w:rPr>
                <w:rFonts w:ascii="宋体" w:hAnsi="宋体"/>
                <w:sz w:val="20"/>
                <w:szCs w:val="20"/>
              </w:rPr>
            </w:pPr>
            <w:r>
              <w:rPr>
                <w:rFonts w:hint="eastAsia" w:ascii="宋体" w:hAnsi="宋体"/>
                <w:sz w:val="20"/>
                <w:szCs w:val="20"/>
              </w:rPr>
              <w:t>投标人每增加</w:t>
            </w:r>
            <w:r>
              <w:rPr>
                <w:rFonts w:ascii="宋体" w:hAnsi="宋体"/>
                <w:sz w:val="20"/>
                <w:szCs w:val="20"/>
              </w:rPr>
              <w:t>1项</w:t>
            </w:r>
            <w:r>
              <w:rPr>
                <w:rFonts w:hint="eastAsia" w:ascii="宋体" w:hAnsi="宋体"/>
                <w:sz w:val="20"/>
                <w:szCs w:val="20"/>
              </w:rPr>
              <w:t>满足资格审查条件（业绩最低要求）的设计业绩加</w:t>
            </w:r>
            <w:r>
              <w:rPr>
                <w:rFonts w:ascii="宋体" w:hAnsi="宋体"/>
                <w:sz w:val="20"/>
                <w:szCs w:val="20"/>
              </w:rPr>
              <w:t>1</w:t>
            </w:r>
            <w:r>
              <w:rPr>
                <w:rFonts w:hint="eastAsia" w:ascii="宋体" w:hAnsi="宋体"/>
                <w:sz w:val="20"/>
                <w:szCs w:val="20"/>
              </w:rPr>
              <w:t>分，最多加</w:t>
            </w:r>
            <w:r>
              <w:rPr>
                <w:rFonts w:ascii="宋体" w:hAnsi="宋体"/>
                <w:sz w:val="20"/>
                <w:szCs w:val="20"/>
              </w:rPr>
              <w:t>1</w:t>
            </w:r>
            <w:r>
              <w:rPr>
                <w:rFonts w:hint="eastAsia" w:ascii="宋体" w:hAnsi="宋体"/>
                <w:sz w:val="20"/>
                <w:szCs w:val="20"/>
              </w:rPr>
              <w:t>分；</w:t>
            </w:r>
          </w:p>
          <w:p>
            <w:pPr>
              <w:spacing w:line="320" w:lineRule="exact"/>
              <w:rPr>
                <w:rFonts w:ascii="宋体" w:hAnsi="宋体"/>
              </w:rPr>
            </w:pPr>
            <w:r>
              <w:rPr>
                <w:rFonts w:hint="eastAsia" w:ascii="宋体" w:hAnsi="宋体"/>
                <w:sz w:val="20"/>
                <w:szCs w:val="20"/>
              </w:rPr>
              <w:t>投标人每增加</w:t>
            </w:r>
            <w:r>
              <w:rPr>
                <w:rFonts w:ascii="宋体" w:hAnsi="宋体"/>
                <w:sz w:val="20"/>
                <w:szCs w:val="20"/>
              </w:rPr>
              <w:t>1项</w:t>
            </w:r>
            <w:r>
              <w:rPr>
                <w:rFonts w:hint="eastAsia" w:ascii="宋体" w:hAnsi="宋体"/>
                <w:sz w:val="20"/>
                <w:szCs w:val="20"/>
              </w:rPr>
              <w:t>满足资格审查条件（业绩最低要求）的施工业绩（包括1个公路业绩、1个机电业绩和1个房建业绩）加</w:t>
            </w:r>
            <w:r>
              <w:rPr>
                <w:rFonts w:ascii="宋体" w:hAnsi="宋体"/>
                <w:sz w:val="20"/>
                <w:szCs w:val="20"/>
              </w:rPr>
              <w:t>1</w:t>
            </w:r>
            <w:r>
              <w:rPr>
                <w:rFonts w:hint="eastAsia" w:ascii="宋体" w:hAnsi="宋体"/>
                <w:sz w:val="20"/>
                <w:szCs w:val="20"/>
              </w:rPr>
              <w:t>分，最多加</w:t>
            </w:r>
            <w:r>
              <w:rPr>
                <w:rFonts w:ascii="宋体" w:hAnsi="宋体"/>
                <w:sz w:val="20"/>
                <w:szCs w:val="20"/>
              </w:rPr>
              <w:t>1</w:t>
            </w:r>
            <w:r>
              <w:rPr>
                <w:rFonts w:hint="eastAsia" w:ascii="宋体" w:hAnsi="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65" w:type="dxa"/>
            <w:vAlign w:val="center"/>
          </w:tcPr>
          <w:p>
            <w:pPr>
              <w:spacing w:line="320" w:lineRule="exact"/>
              <w:jc w:val="center"/>
              <w:rPr>
                <w:rFonts w:ascii="宋体" w:hAnsi="宋体" w:cs="宋体"/>
                <w:kern w:val="0"/>
                <w:sz w:val="20"/>
                <w:szCs w:val="20"/>
                <w:lang w:val="zh-CN"/>
              </w:rPr>
            </w:pPr>
            <w:r>
              <w:rPr>
                <w:rFonts w:hint="eastAsia" w:ascii="宋体" w:hAnsi="宋体"/>
                <w:sz w:val="20"/>
                <w:szCs w:val="20"/>
              </w:rPr>
              <w:t>2.2.4（</w:t>
            </w:r>
            <w:r>
              <w:rPr>
                <w:rFonts w:ascii="宋体" w:hAnsi="宋体"/>
                <w:sz w:val="20"/>
                <w:szCs w:val="20"/>
              </w:rPr>
              <w:t>4</w:t>
            </w:r>
            <w:r>
              <w:rPr>
                <w:rFonts w:hint="eastAsia" w:ascii="宋体" w:hAnsi="宋体"/>
                <w:sz w:val="20"/>
                <w:szCs w:val="20"/>
              </w:rPr>
              <w:t>）</w:t>
            </w:r>
          </w:p>
        </w:tc>
        <w:tc>
          <w:tcPr>
            <w:tcW w:w="1000" w:type="dxa"/>
            <w:vAlign w:val="center"/>
          </w:tcPr>
          <w:p>
            <w:pPr>
              <w:spacing w:line="320" w:lineRule="exact"/>
              <w:jc w:val="center"/>
              <w:rPr>
                <w:rFonts w:ascii="宋体" w:hAnsi="宋体" w:cs="宋体"/>
                <w:kern w:val="0"/>
                <w:sz w:val="20"/>
                <w:szCs w:val="20"/>
                <w:lang w:val="zh-CN"/>
              </w:rPr>
            </w:pPr>
            <w:r>
              <w:rPr>
                <w:rFonts w:ascii="宋体" w:hAnsi="宋体"/>
                <w:sz w:val="20"/>
                <w:szCs w:val="20"/>
              </w:rPr>
              <w:t>评标价</w:t>
            </w:r>
          </w:p>
        </w:tc>
        <w:tc>
          <w:tcPr>
            <w:tcW w:w="691" w:type="dxa"/>
            <w:vAlign w:val="center"/>
          </w:tcPr>
          <w:p>
            <w:pPr>
              <w:spacing w:line="320" w:lineRule="exact"/>
              <w:jc w:val="center"/>
              <w:rPr>
                <w:rFonts w:ascii="宋体" w:hAnsi="宋体" w:cs="宋体"/>
                <w:kern w:val="0"/>
                <w:sz w:val="20"/>
                <w:szCs w:val="20"/>
                <w:lang w:val="zh-CN"/>
              </w:rPr>
            </w:pPr>
            <w:r>
              <w:rPr>
                <w:rFonts w:hint="eastAsia" w:ascii="宋体" w:hAnsi="宋体"/>
                <w:sz w:val="20"/>
                <w:szCs w:val="20"/>
              </w:rPr>
              <w:t>50分</w:t>
            </w:r>
          </w:p>
        </w:tc>
        <w:tc>
          <w:tcPr>
            <w:tcW w:w="6694" w:type="dxa"/>
            <w:gridSpan w:val="3"/>
            <w:vAlign w:val="center"/>
          </w:tcPr>
          <w:p>
            <w:pPr>
              <w:tabs>
                <w:tab w:val="left" w:pos="3060"/>
              </w:tabs>
              <w:spacing w:line="280" w:lineRule="exact"/>
              <w:rPr>
                <w:rFonts w:ascii="宋体" w:hAnsi="宋体"/>
                <w:sz w:val="20"/>
                <w:szCs w:val="20"/>
              </w:rPr>
            </w:pPr>
            <w:r>
              <w:rPr>
                <w:rFonts w:ascii="宋体" w:hAnsi="宋体"/>
                <w:sz w:val="20"/>
                <w:szCs w:val="20"/>
              </w:rPr>
              <w:t>评标价</w:t>
            </w:r>
            <w:r>
              <w:rPr>
                <w:rFonts w:hint="eastAsia" w:ascii="宋体" w:hAnsi="宋体"/>
                <w:sz w:val="20"/>
                <w:szCs w:val="20"/>
              </w:rPr>
              <w:t>得分计算公式：</w:t>
            </w:r>
          </w:p>
          <w:p>
            <w:pPr>
              <w:tabs>
                <w:tab w:val="left" w:pos="3060"/>
              </w:tabs>
              <w:spacing w:line="280" w:lineRule="exact"/>
              <w:rPr>
                <w:rFonts w:ascii="宋体" w:hAnsi="宋体"/>
                <w:sz w:val="20"/>
                <w:szCs w:val="20"/>
              </w:rPr>
            </w:pPr>
            <w:r>
              <w:rPr>
                <w:rFonts w:hint="eastAsia" w:ascii="宋体" w:hAnsi="宋体"/>
                <w:sz w:val="20"/>
                <w:szCs w:val="20"/>
              </w:rPr>
              <w:t>（1）如果投标人的评标价＞评标基准价，则评标价得分＝</w:t>
            </w:r>
            <w:r>
              <w:rPr>
                <w:rFonts w:ascii="宋体" w:hAnsi="宋体"/>
                <w:sz w:val="20"/>
                <w:szCs w:val="20"/>
              </w:rPr>
              <w:t>5</w:t>
            </w:r>
            <w:r>
              <w:rPr>
                <w:rFonts w:hint="eastAsia" w:ascii="宋体" w:hAnsi="宋体"/>
                <w:sz w:val="20"/>
                <w:szCs w:val="20"/>
              </w:rPr>
              <w:t>0－偏差率×</w:t>
            </w:r>
            <w:r>
              <w:rPr>
                <w:rFonts w:ascii="宋体" w:hAnsi="宋体"/>
                <w:sz w:val="20"/>
                <w:szCs w:val="20"/>
              </w:rPr>
              <w:t>100</w:t>
            </w:r>
            <w:r>
              <w:rPr>
                <w:rFonts w:hint="eastAsia" w:ascii="宋体" w:hAnsi="宋体"/>
                <w:sz w:val="20"/>
                <w:szCs w:val="20"/>
              </w:rPr>
              <w:t>×E1；</w:t>
            </w:r>
          </w:p>
          <w:p>
            <w:pPr>
              <w:tabs>
                <w:tab w:val="left" w:pos="3060"/>
              </w:tabs>
              <w:spacing w:line="280" w:lineRule="exact"/>
              <w:rPr>
                <w:rFonts w:ascii="宋体" w:hAnsi="宋体"/>
                <w:sz w:val="20"/>
                <w:szCs w:val="20"/>
              </w:rPr>
            </w:pPr>
            <w:r>
              <w:rPr>
                <w:rFonts w:hint="eastAsia" w:ascii="宋体" w:hAnsi="宋体"/>
                <w:sz w:val="20"/>
                <w:szCs w:val="20"/>
              </w:rPr>
              <w:t>（2）如果投标人的评标价≤评标基准价，则评标价得分＝5</w:t>
            </w:r>
            <w:r>
              <w:rPr>
                <w:rFonts w:ascii="宋体" w:hAnsi="宋体"/>
                <w:sz w:val="20"/>
                <w:szCs w:val="20"/>
              </w:rPr>
              <w:t>0</w:t>
            </w:r>
            <w:r>
              <w:rPr>
                <w:rFonts w:hint="eastAsia" w:ascii="宋体" w:hAnsi="宋体"/>
                <w:sz w:val="20"/>
                <w:szCs w:val="20"/>
              </w:rPr>
              <w:t>＋偏差率×1</w:t>
            </w:r>
            <w:r>
              <w:rPr>
                <w:rFonts w:ascii="宋体" w:hAnsi="宋体"/>
                <w:sz w:val="20"/>
                <w:szCs w:val="20"/>
              </w:rPr>
              <w:t>00</w:t>
            </w:r>
            <w:r>
              <w:rPr>
                <w:rFonts w:hint="eastAsia" w:ascii="宋体" w:hAnsi="宋体"/>
                <w:sz w:val="20"/>
                <w:szCs w:val="20"/>
              </w:rPr>
              <w:t>×E2；</w:t>
            </w:r>
          </w:p>
          <w:p>
            <w:pPr>
              <w:tabs>
                <w:tab w:val="left" w:pos="3060"/>
              </w:tabs>
              <w:spacing w:line="280" w:lineRule="exact"/>
              <w:rPr>
                <w:rFonts w:ascii="宋体" w:hAnsi="宋体"/>
                <w:sz w:val="20"/>
                <w:szCs w:val="20"/>
              </w:rPr>
            </w:pPr>
            <w:r>
              <w:rPr>
                <w:rFonts w:hint="eastAsia" w:ascii="宋体" w:hAnsi="宋体"/>
                <w:sz w:val="20"/>
                <w:szCs w:val="20"/>
              </w:rPr>
              <w:t>其中，E1是评标价每高于评标基准价一个百分点的扣分值，E1＝</w:t>
            </w:r>
            <w:r>
              <w:rPr>
                <w:rFonts w:ascii="宋体" w:hAnsi="宋体"/>
                <w:sz w:val="20"/>
                <w:szCs w:val="20"/>
              </w:rPr>
              <w:t>0.6</w:t>
            </w:r>
            <w:r>
              <w:rPr>
                <w:rFonts w:hint="eastAsia" w:ascii="宋体" w:hAnsi="宋体"/>
                <w:sz w:val="20"/>
                <w:szCs w:val="20"/>
              </w:rPr>
              <w:t>；E2是评标价每低于评标基准价一个百分点的扣分值，E2＝0.</w:t>
            </w:r>
            <w:r>
              <w:rPr>
                <w:rFonts w:ascii="宋体" w:hAnsi="宋体"/>
                <w:sz w:val="20"/>
                <w:szCs w:val="20"/>
              </w:rPr>
              <w:t>3</w:t>
            </w:r>
            <w:r>
              <w:rPr>
                <w:rFonts w:hint="eastAsia" w:ascii="宋体" w:hAnsi="宋体"/>
                <w:sz w:val="20"/>
                <w:szCs w:val="20"/>
              </w:rPr>
              <w:t>。</w:t>
            </w:r>
          </w:p>
          <w:p>
            <w:pPr>
              <w:spacing w:line="280" w:lineRule="exact"/>
              <w:rPr>
                <w:rFonts w:ascii="宋体" w:hAnsi="宋体"/>
                <w:sz w:val="20"/>
                <w:szCs w:val="20"/>
              </w:rPr>
            </w:pPr>
            <w:r>
              <w:rPr>
                <w:rFonts w:hint="eastAsia" w:ascii="宋体" w:hAnsi="宋体"/>
                <w:sz w:val="20"/>
                <w:szCs w:val="20"/>
              </w:rPr>
              <w:t>评标价最低得分为</w:t>
            </w:r>
            <w:r>
              <w:rPr>
                <w:rFonts w:ascii="宋体" w:hAnsi="宋体"/>
                <w:sz w:val="20"/>
                <w:szCs w:val="20"/>
              </w:rPr>
              <w:t>0</w:t>
            </w:r>
            <w:r>
              <w:rPr>
                <w:rFonts w:hint="eastAsia" w:ascii="宋体" w:hAnsi="宋体"/>
                <w:sz w:val="20"/>
                <w:szCs w:val="20"/>
              </w:rPr>
              <w:t>分，</w:t>
            </w:r>
            <w:r>
              <w:rPr>
                <w:rFonts w:hint="eastAsia" w:ascii="宋体" w:hAnsi="宋体"/>
                <w:bCs/>
                <w:sz w:val="20"/>
                <w:szCs w:val="20"/>
              </w:rPr>
              <w:t>评标价得分保留两位小数，第三位四舍五入。</w:t>
            </w:r>
          </w:p>
        </w:tc>
      </w:tr>
    </w:tbl>
    <w:p>
      <w:pPr>
        <w:pStyle w:val="4"/>
        <w:spacing w:before="120" w:beforeLines="50" w:line="312" w:lineRule="auto"/>
        <w:rPr>
          <w:rFonts w:asciiTheme="minorEastAsia" w:hAnsiTheme="minorEastAsia" w:eastAsiaTheme="minorEastAsia"/>
        </w:rPr>
      </w:pPr>
      <w:r>
        <w:rPr>
          <w:rFonts w:hint="eastAsia" w:asciiTheme="minorEastAsia" w:hAnsiTheme="minorEastAsia" w:eastAsiaTheme="minorEastAsia"/>
        </w:rPr>
        <w:t>注：（1）</w:t>
      </w:r>
      <w:r>
        <w:rPr>
          <w:rFonts w:hint="eastAsia" w:hAnsi="宋体"/>
        </w:rPr>
        <w:t>承包人建议书和承包人实施方案</w:t>
      </w:r>
      <w:r>
        <w:rPr>
          <w:rFonts w:hint="eastAsia" w:asciiTheme="minorEastAsia" w:hAnsiTheme="minorEastAsia" w:eastAsiaTheme="minorEastAsia"/>
        </w:rPr>
        <w:t>以评标委员会各成员的打分平均值确定；评委打分保留</w:t>
      </w:r>
      <w:r>
        <w:rPr>
          <w:rFonts w:asciiTheme="minorEastAsia" w:hAnsiTheme="minorEastAsia" w:eastAsiaTheme="minorEastAsia"/>
        </w:rPr>
        <w:t>1</w:t>
      </w:r>
      <w:r>
        <w:rPr>
          <w:rFonts w:hint="eastAsia" w:asciiTheme="minorEastAsia" w:hAnsiTheme="minorEastAsia" w:eastAsiaTheme="minorEastAsia"/>
        </w:rPr>
        <w:t>位小数，汇总得分保留小数点后两位。</w:t>
      </w:r>
    </w:p>
    <w:p>
      <w:r>
        <w:rPr>
          <w:rFonts w:hint="eastAsia" w:asciiTheme="minorEastAsia" w:hAnsiTheme="minorEastAsia" w:eastAsiaTheme="minorEastAsia"/>
        </w:rPr>
        <w:t>（2）</w:t>
      </w:r>
      <w:bookmarkEnd w:id="0"/>
      <w:bookmarkEnd w:id="4"/>
      <w:bookmarkEnd w:id="6"/>
      <w:r>
        <w:rPr>
          <w:rFonts w:hint="eastAsia" w:hAnsi="宋体"/>
        </w:rPr>
        <w:t>承包人建议书和承包人实施方案各评分因素细分项缺项</w:t>
      </w:r>
      <w:r>
        <w:rPr>
          <w:rFonts w:hAnsi="宋体"/>
        </w:rPr>
        <w:t>，则该项得</w:t>
      </w:r>
      <w:r>
        <w:rPr>
          <w:rFonts w:hint="eastAsia" w:hAnsi="宋体"/>
        </w:rPr>
        <w:t>0分</w:t>
      </w:r>
      <w:r>
        <w:rPr>
          <w:rFonts w:hAnsi="宋体"/>
        </w:rPr>
        <w:t>。</w:t>
      </w:r>
      <w:bookmarkEnd w:id="1"/>
      <w:bookmarkEnd w:id="5"/>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3DD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Plain Text"/>
    <w:basedOn w:val="1"/>
    <w:qFormat/>
    <w:uiPriority w:val="0"/>
    <w:rPr>
      <w:rFonts w:ascii="宋体" w:hAnsi="Courier New" w:cs="Courier New"/>
      <w:szCs w:val="21"/>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2023-10-12T09:49:24Z</dcterms:created>
  <dc:creator>Administrator</dc:creator>
  <cp:lastModifiedBy>李娜</cp:lastModifiedBy>
  <dcterms:modified xsi:type="dcterms:W3CDTF">2023-10-12T09:51:28Z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D0F5EF46EB5F49F7A39E4AE8BEFD71B4_12</vt:lpwstr>
  </property>
</Properties>
</file>