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156" w:beforeLines="50" w:after="156" w:afterLines="50" w:line="240" w:lineRule="auto"/>
        <w:rPr>
          <w:color w:val="auto"/>
        </w:rPr>
      </w:pPr>
      <w:bookmarkStart w:id="0" w:name="_Toc134896103"/>
      <w:r>
        <w:rPr>
          <w:rFonts w:hint="eastAsia" w:ascii="宋体" w:hAnsi="宋体"/>
          <w:color w:val="auto"/>
          <w:sz w:val="24"/>
          <w:szCs w:val="24"/>
        </w:rPr>
        <w:t>附件</w:t>
      </w:r>
      <w:r>
        <w:rPr>
          <w:rFonts w:ascii="宋体" w:hAnsi="宋体"/>
          <w:color w:val="auto"/>
          <w:sz w:val="24"/>
          <w:szCs w:val="24"/>
        </w:rPr>
        <w:t>1</w:t>
      </w:r>
      <w:r>
        <w:rPr>
          <w:rFonts w:hint="eastAsia" w:ascii="宋体" w:hAnsi="宋体"/>
          <w:color w:val="auto"/>
          <w:sz w:val="24"/>
          <w:szCs w:val="24"/>
        </w:rPr>
        <w:t>：资格审查条件</w:t>
      </w:r>
      <w:bookmarkEnd w:id="0"/>
    </w:p>
    <w:p>
      <w:pPr>
        <w:jc w:val="center"/>
        <w:rPr>
          <w:color w:val="auto"/>
        </w:rPr>
      </w:pPr>
    </w:p>
    <w:p>
      <w:pPr>
        <w:jc w:val="center"/>
        <w:rPr>
          <w:rFonts w:ascii="宋体" w:hAnsi="宋体"/>
          <w:b/>
          <w:color w:val="auto"/>
          <w:sz w:val="24"/>
          <w:szCs w:val="24"/>
        </w:rPr>
      </w:pPr>
      <w:r>
        <w:rPr>
          <w:rFonts w:hint="eastAsia" w:ascii="宋体" w:hAnsi="宋体"/>
          <w:b/>
          <w:color w:val="auto"/>
          <w:sz w:val="24"/>
          <w:szCs w:val="24"/>
        </w:rPr>
        <w:t>附录1  资格审查条件（资质最低要求）</w:t>
      </w:r>
    </w:p>
    <w:p>
      <w:pPr>
        <w:jc w:val="center"/>
        <w:rPr>
          <w:rFonts w:ascii="宋体" w:hAnsi="宋体"/>
          <w:b/>
          <w:color w:val="auto"/>
          <w:sz w:val="24"/>
          <w:szCs w:val="24"/>
        </w:rPr>
      </w:pPr>
    </w:p>
    <w:tbl>
      <w:tblPr>
        <w:tblStyle w:val="7"/>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8" w:hRule="atLeast"/>
        </w:trPr>
        <w:tc>
          <w:tcPr>
            <w:tcW w:w="8642" w:type="dxa"/>
            <w:vAlign w:val="center"/>
          </w:tcPr>
          <w:p>
            <w:pPr>
              <w:jc w:val="center"/>
              <w:rPr>
                <w:rFonts w:ascii="宋体" w:hAnsi="宋体"/>
                <w:color w:val="auto"/>
                <w:szCs w:val="21"/>
              </w:rPr>
            </w:pPr>
            <w:r>
              <w:rPr>
                <w:rFonts w:hint="eastAsia" w:ascii="宋体" w:hAnsi="宋体"/>
                <w:color w:val="auto"/>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8642" w:type="dxa"/>
            <w:vAlign w:val="center"/>
          </w:tcPr>
          <w:p>
            <w:pPr>
              <w:keepNext w:val="0"/>
              <w:keepLines w:val="0"/>
              <w:widowControl/>
              <w:suppressLineNumbers w:val="0"/>
              <w:jc w:val="left"/>
              <w:rPr>
                <w:color w:val="auto"/>
              </w:rPr>
            </w:pPr>
            <w:r>
              <w:rPr>
                <w:rFonts w:hint="eastAsia" w:ascii="宋体" w:hAnsi="宋体" w:eastAsia="宋体" w:cs="宋体"/>
                <w:color w:val="000000"/>
                <w:kern w:val="0"/>
                <w:sz w:val="21"/>
                <w:szCs w:val="21"/>
                <w:lang w:val="en-US" w:eastAsia="zh-CN" w:bidi="ar"/>
              </w:rPr>
              <w:t xml:space="preserve">具有独立法人资格，持有有效企业营业执照或有效的事业单位法人证书。 </w:t>
            </w:r>
          </w:p>
          <w:p>
            <w:pPr>
              <w:keepNext w:val="0"/>
              <w:keepLines w:val="0"/>
              <w:widowControl/>
              <w:suppressLineNumbers w:val="0"/>
              <w:jc w:val="left"/>
              <w:rPr>
                <w:rFonts w:hint="eastAsia" w:ascii="宋体" w:hAnsi="宋体" w:eastAsia="宋体"/>
                <w:color w:val="auto"/>
                <w:szCs w:val="21"/>
                <w:lang w:eastAsia="zh-CN"/>
              </w:rPr>
            </w:pPr>
            <w:r>
              <w:rPr>
                <w:rFonts w:hint="eastAsia" w:ascii="宋体" w:hAnsi="宋体" w:eastAsia="宋体" w:cs="宋体"/>
                <w:color w:val="000000"/>
                <w:kern w:val="0"/>
                <w:sz w:val="21"/>
                <w:szCs w:val="21"/>
                <w:lang w:val="en-US" w:eastAsia="zh-CN" w:bidi="ar"/>
              </w:rPr>
              <w:t xml:space="preserve">具有交通主管部门颁发的公路工程交通工程专项试验检测资质证书，具有省级及以上机构颁发的相应的 CMA 计量认证证书。独立法人单位下属的非独立法人检测机构具有上述资质的，视为该独立法人单位具有相应资质。 </w:t>
            </w:r>
          </w:p>
        </w:tc>
      </w:tr>
    </w:tbl>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b w:val="0"/>
          <w:bCs w:val="0"/>
          <w:color w:val="auto"/>
          <w:sz w:val="24"/>
          <w:szCs w:val="24"/>
        </w:rPr>
      </w:pPr>
    </w:p>
    <w:p>
      <w:pPr>
        <w:jc w:val="center"/>
        <w:rPr>
          <w:rFonts w:ascii="宋体" w:hAnsi="宋体"/>
          <w:b w:val="0"/>
          <w:bCs w:val="0"/>
          <w:color w:val="auto"/>
          <w:sz w:val="24"/>
          <w:szCs w:val="24"/>
        </w:rPr>
      </w:pPr>
      <w:bookmarkStart w:id="8" w:name="_GoBack"/>
      <w:r>
        <w:rPr>
          <w:rFonts w:hint="eastAsia" w:ascii="宋体" w:hAnsi="宋体"/>
          <w:b/>
          <w:bCs/>
          <w:color w:val="auto"/>
          <w:sz w:val="24"/>
          <w:szCs w:val="24"/>
        </w:rPr>
        <w:t>附录2  资格审查条件（业绩最低要求）</w:t>
      </w:r>
      <w:bookmarkEnd w:id="8"/>
    </w:p>
    <w:p>
      <w:pPr>
        <w:jc w:val="center"/>
        <w:rPr>
          <w:rFonts w:ascii="宋体" w:hAnsi="宋体"/>
          <w:b w:val="0"/>
          <w:bCs w:val="0"/>
          <w:color w:val="auto"/>
          <w:sz w:val="24"/>
          <w:szCs w:val="24"/>
        </w:rPr>
      </w:pPr>
    </w:p>
    <w:tbl>
      <w:tblPr>
        <w:tblStyle w:val="7"/>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8642" w:type="dxa"/>
            <w:vAlign w:val="center"/>
          </w:tcPr>
          <w:p>
            <w:pPr>
              <w:jc w:val="center"/>
              <w:rPr>
                <w:rFonts w:ascii="宋体" w:hAnsi="宋体"/>
                <w:b w:val="0"/>
                <w:bCs w:val="0"/>
                <w:color w:val="auto"/>
                <w:szCs w:val="21"/>
              </w:rPr>
            </w:pPr>
            <w:r>
              <w:rPr>
                <w:rFonts w:hint="eastAsia" w:ascii="宋体" w:hAnsi="宋体"/>
                <w:b w:val="0"/>
                <w:bCs w:val="0"/>
                <w:color w:val="auto"/>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8642" w:type="dxa"/>
            <w:vAlign w:val="center"/>
          </w:tcPr>
          <w:p>
            <w:pPr>
              <w:snapToGrid w:val="0"/>
              <w:spacing w:line="360" w:lineRule="exact"/>
              <w:ind w:firstLine="420" w:firstLineChars="200"/>
              <w:rPr>
                <w:rFonts w:ascii="宋体" w:hAnsi="宋体"/>
                <w:b w:val="0"/>
                <w:bCs w:val="0"/>
                <w:color w:val="auto"/>
                <w:szCs w:val="21"/>
              </w:rPr>
            </w:pPr>
            <w:r>
              <w:rPr>
                <w:rFonts w:hint="eastAsia" w:ascii="宋体" w:hAnsi="宋体"/>
                <w:b w:val="0"/>
                <w:bCs w:val="0"/>
                <w:color w:val="auto"/>
                <w:kern w:val="0"/>
                <w:szCs w:val="21"/>
              </w:rPr>
              <w:t>近5年（2018年</w:t>
            </w:r>
            <w:r>
              <w:rPr>
                <w:rFonts w:hint="eastAsia" w:ascii="宋体" w:hAnsi="宋体"/>
                <w:b w:val="0"/>
                <w:bCs w:val="0"/>
                <w:color w:val="auto"/>
                <w:kern w:val="0"/>
                <w:szCs w:val="21"/>
                <w:lang w:val="en-US" w:eastAsia="zh-CN"/>
              </w:rPr>
              <w:t>9</w:t>
            </w:r>
            <w:r>
              <w:rPr>
                <w:rFonts w:hint="eastAsia" w:ascii="宋体" w:hAnsi="宋体"/>
                <w:b w:val="0"/>
                <w:bCs w:val="0"/>
                <w:color w:val="auto"/>
                <w:kern w:val="0"/>
                <w:szCs w:val="21"/>
              </w:rPr>
              <w:t>月1日至投标截止时间，以合同签订时间为准），至少承担过1项高速公路</w:t>
            </w:r>
            <w:r>
              <w:rPr>
                <w:rFonts w:hint="eastAsia" w:ascii="宋体" w:hAnsi="宋体"/>
                <w:b w:val="0"/>
                <w:bCs w:val="0"/>
                <w:color w:val="auto"/>
                <w:kern w:val="0"/>
                <w:szCs w:val="21"/>
                <w:lang w:eastAsia="zh-CN"/>
              </w:rPr>
              <w:t>机电</w:t>
            </w:r>
            <w:r>
              <w:rPr>
                <w:rFonts w:hint="eastAsia" w:ascii="宋体" w:hAnsi="宋体"/>
                <w:b w:val="0"/>
                <w:bCs w:val="0"/>
                <w:color w:val="auto"/>
                <w:kern w:val="0"/>
                <w:szCs w:val="21"/>
                <w:lang w:val="en-US" w:eastAsia="zh-CN"/>
              </w:rPr>
              <w:t>工程</w:t>
            </w:r>
            <w:r>
              <w:rPr>
                <w:rFonts w:hint="eastAsia" w:ascii="宋体" w:hAnsi="宋体"/>
                <w:b w:val="0"/>
                <w:bCs w:val="0"/>
                <w:color w:val="auto"/>
                <w:kern w:val="0"/>
                <w:szCs w:val="21"/>
                <w:lang w:eastAsia="zh-CN"/>
              </w:rPr>
              <w:t>检测</w:t>
            </w:r>
            <w:r>
              <w:rPr>
                <w:rFonts w:hint="eastAsia" w:ascii="宋体" w:hAnsi="宋体"/>
                <w:b w:val="0"/>
                <w:bCs w:val="0"/>
                <w:color w:val="auto"/>
                <w:kern w:val="0"/>
                <w:szCs w:val="21"/>
              </w:rPr>
              <w:t>项目业绩。</w:t>
            </w:r>
          </w:p>
        </w:tc>
      </w:tr>
    </w:tbl>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jc w:val="center"/>
        <w:rPr>
          <w:rFonts w:ascii="宋体" w:hAnsi="宋体"/>
          <w:b/>
          <w:color w:val="auto"/>
          <w:sz w:val="24"/>
          <w:szCs w:val="24"/>
        </w:rPr>
      </w:pPr>
      <w:r>
        <w:rPr>
          <w:rFonts w:hint="eastAsia" w:ascii="宋体" w:hAnsi="宋体"/>
          <w:b/>
          <w:color w:val="auto"/>
          <w:sz w:val="24"/>
          <w:szCs w:val="24"/>
        </w:rPr>
        <w:t>附录</w:t>
      </w:r>
      <w:r>
        <w:rPr>
          <w:rFonts w:hint="eastAsia" w:ascii="宋体" w:hAnsi="宋体"/>
          <w:b/>
          <w:color w:val="auto"/>
          <w:sz w:val="24"/>
          <w:szCs w:val="24"/>
          <w:lang w:val="en-US" w:eastAsia="zh-CN"/>
        </w:rPr>
        <w:t>3</w:t>
      </w:r>
      <w:r>
        <w:rPr>
          <w:rFonts w:hint="eastAsia" w:ascii="宋体" w:hAnsi="宋体"/>
          <w:b/>
          <w:color w:val="auto"/>
          <w:sz w:val="24"/>
          <w:szCs w:val="24"/>
        </w:rPr>
        <w:t xml:space="preserve">  资格审查条件（信誉最低要求）</w:t>
      </w:r>
    </w:p>
    <w:p>
      <w:pPr>
        <w:jc w:val="center"/>
        <w:rPr>
          <w:rFonts w:ascii="宋体" w:hAnsi="宋体"/>
          <w:b/>
          <w:color w:val="auto"/>
          <w:sz w:val="24"/>
          <w:szCs w:val="24"/>
        </w:rPr>
      </w:pPr>
    </w:p>
    <w:tbl>
      <w:tblPr>
        <w:tblStyle w:val="7"/>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8642" w:type="dxa"/>
            <w:vAlign w:val="center"/>
          </w:tcPr>
          <w:p>
            <w:pPr>
              <w:jc w:val="center"/>
              <w:rPr>
                <w:rFonts w:ascii="宋体" w:hAnsi="宋体"/>
                <w:color w:val="auto"/>
                <w:szCs w:val="21"/>
              </w:rPr>
            </w:pPr>
            <w:r>
              <w:rPr>
                <w:rFonts w:hint="eastAsia" w:ascii="宋体" w:hAnsi="宋体"/>
                <w:color w:val="auto"/>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trPr>
        <w:tc>
          <w:tcPr>
            <w:tcW w:w="8642" w:type="dxa"/>
            <w:vAlign w:val="center"/>
          </w:tcPr>
          <w:p>
            <w:pPr>
              <w:snapToGrid w:val="0"/>
              <w:spacing w:line="360" w:lineRule="exact"/>
              <w:ind w:firstLine="420" w:firstLineChars="200"/>
              <w:rPr>
                <w:rFonts w:ascii="宋体" w:hAnsi="宋体"/>
                <w:color w:val="auto"/>
                <w:szCs w:val="21"/>
              </w:rPr>
            </w:pPr>
            <w:r>
              <w:rPr>
                <w:rFonts w:hint="eastAsia" w:ascii="宋体" w:hAnsi="宋体"/>
                <w:color w:val="auto"/>
                <w:kern w:val="0"/>
                <w:szCs w:val="21"/>
              </w:rPr>
              <w:t>投标人在过去1年中（2022年</w:t>
            </w:r>
            <w:r>
              <w:rPr>
                <w:rFonts w:hint="eastAsia" w:ascii="宋体" w:hAnsi="宋体"/>
                <w:color w:val="auto"/>
                <w:kern w:val="0"/>
                <w:szCs w:val="21"/>
                <w:lang w:val="en-US" w:eastAsia="zh-CN"/>
              </w:rPr>
              <w:t>9</w:t>
            </w:r>
            <w:r>
              <w:rPr>
                <w:rFonts w:hint="eastAsia" w:ascii="宋体" w:hAnsi="宋体"/>
                <w:color w:val="auto"/>
                <w:kern w:val="0"/>
                <w:szCs w:val="21"/>
              </w:rPr>
              <w:t>月1日至投标截止时间）不曾在</w:t>
            </w:r>
            <w:r>
              <w:rPr>
                <w:rFonts w:hint="eastAsia" w:ascii="宋体" w:hAnsi="宋体"/>
                <w:color w:val="auto"/>
                <w:kern w:val="0"/>
                <w:szCs w:val="21"/>
                <w:lang w:val="en-US" w:eastAsia="zh-CN"/>
              </w:rPr>
              <w:t>高速公路</w:t>
            </w:r>
            <w:r>
              <w:rPr>
                <w:rFonts w:hint="eastAsia" w:ascii="宋体" w:hAnsi="宋体"/>
                <w:color w:val="000000" w:themeColor="text1"/>
                <w:kern w:val="0"/>
                <w:szCs w:val="21"/>
                <w:lang w:eastAsia="zh-CN"/>
                <w14:textFill>
                  <w14:solidFill>
                    <w14:schemeClr w14:val="tx1"/>
                  </w14:solidFill>
                </w14:textFill>
              </w:rPr>
              <w:t>机电检</w:t>
            </w:r>
            <w:r>
              <w:rPr>
                <w:rFonts w:hint="eastAsia" w:ascii="宋体" w:hAnsi="宋体"/>
                <w:color w:val="auto"/>
                <w:kern w:val="0"/>
                <w:szCs w:val="21"/>
                <w:lang w:eastAsia="zh-CN"/>
              </w:rPr>
              <w:t>测服务</w:t>
            </w:r>
            <w:r>
              <w:rPr>
                <w:rFonts w:hint="eastAsia" w:ascii="宋体" w:hAnsi="宋体"/>
                <w:color w:val="auto"/>
                <w:kern w:val="0"/>
                <w:szCs w:val="21"/>
              </w:rPr>
              <w:t>合同中违约被逐或因投标人自身的原因而使合同被解除。</w:t>
            </w:r>
          </w:p>
        </w:tc>
      </w:tr>
    </w:tbl>
    <w:p>
      <w:pPr>
        <w:rPr>
          <w:rFonts w:ascii="宋体" w:hAnsi="宋体"/>
          <w:color w:val="auto"/>
          <w:sz w:val="24"/>
          <w:szCs w:val="24"/>
        </w:rPr>
      </w:pPr>
    </w:p>
    <w:p>
      <w:pPr>
        <w:jc w:val="center"/>
        <w:rPr>
          <w:rFonts w:ascii="宋体" w:hAnsi="宋体"/>
          <w:b/>
          <w:color w:val="auto"/>
          <w:sz w:val="24"/>
          <w:szCs w:val="24"/>
        </w:rPr>
      </w:pPr>
    </w:p>
    <w:p>
      <w:pPr>
        <w:jc w:val="center"/>
        <w:rPr>
          <w:rFonts w:ascii="宋体" w:hAnsi="宋体"/>
          <w:b/>
          <w:color w:val="auto"/>
          <w:sz w:val="24"/>
          <w:szCs w:val="24"/>
        </w:rPr>
      </w:pPr>
      <w:r>
        <w:rPr>
          <w:rFonts w:hint="eastAsia" w:ascii="宋体" w:hAnsi="宋体"/>
          <w:b/>
          <w:color w:val="auto"/>
          <w:sz w:val="24"/>
          <w:szCs w:val="24"/>
          <w:lang w:val="en-US" w:eastAsia="zh-CN"/>
        </w:rPr>
        <w:t xml:space="preserve">   </w:t>
      </w:r>
      <w:r>
        <w:rPr>
          <w:rFonts w:hint="eastAsia" w:ascii="宋体" w:hAnsi="宋体"/>
          <w:b/>
          <w:color w:val="auto"/>
          <w:sz w:val="24"/>
          <w:szCs w:val="24"/>
        </w:rPr>
        <w:t>附录</w:t>
      </w:r>
      <w:r>
        <w:rPr>
          <w:rFonts w:hint="eastAsia" w:ascii="宋体" w:hAnsi="宋体"/>
          <w:b/>
          <w:color w:val="auto"/>
          <w:sz w:val="24"/>
          <w:szCs w:val="24"/>
          <w:lang w:val="en-US" w:eastAsia="zh-CN"/>
        </w:rPr>
        <w:t>4</w:t>
      </w:r>
      <w:r>
        <w:rPr>
          <w:rFonts w:hint="eastAsia" w:ascii="宋体" w:hAnsi="宋体"/>
          <w:b/>
          <w:color w:val="auto"/>
          <w:sz w:val="24"/>
          <w:szCs w:val="24"/>
        </w:rPr>
        <w:t xml:space="preserve">  资格审查条件（项目负责人最低要求）</w:t>
      </w:r>
    </w:p>
    <w:p>
      <w:pPr>
        <w:jc w:val="center"/>
        <w:rPr>
          <w:rFonts w:ascii="宋体" w:hAnsi="宋体"/>
          <w:b/>
          <w:color w:val="auto"/>
          <w:sz w:val="24"/>
          <w:szCs w:val="24"/>
        </w:rPr>
      </w:pPr>
    </w:p>
    <w:tbl>
      <w:tblPr>
        <w:tblStyle w:val="7"/>
        <w:tblW w:w="86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992"/>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300" w:type="dxa"/>
            <w:vAlign w:val="center"/>
          </w:tcPr>
          <w:p>
            <w:pPr>
              <w:jc w:val="center"/>
              <w:rPr>
                <w:rFonts w:ascii="宋体" w:hAnsi="宋体"/>
                <w:color w:val="auto"/>
                <w:szCs w:val="21"/>
              </w:rPr>
            </w:pPr>
            <w:r>
              <w:rPr>
                <w:rFonts w:hint="eastAsia" w:ascii="宋体" w:hAnsi="宋体"/>
                <w:color w:val="auto"/>
                <w:szCs w:val="21"/>
              </w:rPr>
              <w:t>人员</w:t>
            </w:r>
          </w:p>
        </w:tc>
        <w:tc>
          <w:tcPr>
            <w:tcW w:w="992" w:type="dxa"/>
            <w:vAlign w:val="center"/>
          </w:tcPr>
          <w:p>
            <w:pPr>
              <w:jc w:val="center"/>
              <w:rPr>
                <w:rFonts w:ascii="宋体" w:hAnsi="宋体"/>
                <w:color w:val="auto"/>
                <w:szCs w:val="21"/>
              </w:rPr>
            </w:pPr>
            <w:r>
              <w:rPr>
                <w:rFonts w:hint="eastAsia" w:ascii="宋体" w:hAnsi="宋体"/>
                <w:color w:val="auto"/>
                <w:szCs w:val="21"/>
              </w:rPr>
              <w:t>数量</w:t>
            </w:r>
          </w:p>
        </w:tc>
        <w:tc>
          <w:tcPr>
            <w:tcW w:w="6379" w:type="dxa"/>
            <w:vAlign w:val="center"/>
          </w:tcPr>
          <w:p>
            <w:pPr>
              <w:jc w:val="center"/>
              <w:rPr>
                <w:rFonts w:ascii="宋体" w:hAnsi="宋体"/>
                <w:color w:val="auto"/>
                <w:szCs w:val="21"/>
              </w:rPr>
            </w:pPr>
            <w:r>
              <w:rPr>
                <w:rFonts w:hint="eastAsia" w:ascii="宋体" w:hAnsi="宋体"/>
                <w:color w:val="auto"/>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1300" w:type="dxa"/>
            <w:vAlign w:val="center"/>
          </w:tcPr>
          <w:p>
            <w:pPr>
              <w:jc w:val="center"/>
              <w:rPr>
                <w:rFonts w:ascii="宋体" w:hAnsi="宋体"/>
                <w:color w:val="auto"/>
                <w:szCs w:val="21"/>
              </w:rPr>
            </w:pPr>
            <w:r>
              <w:rPr>
                <w:rFonts w:hint="eastAsia" w:ascii="宋体" w:hAnsi="宋体"/>
                <w:color w:val="auto"/>
                <w:szCs w:val="21"/>
              </w:rPr>
              <w:t>项目负责人</w:t>
            </w:r>
          </w:p>
        </w:tc>
        <w:tc>
          <w:tcPr>
            <w:tcW w:w="992" w:type="dxa"/>
            <w:vAlign w:val="center"/>
          </w:tcPr>
          <w:p>
            <w:pPr>
              <w:jc w:val="center"/>
              <w:rPr>
                <w:rFonts w:ascii="宋体" w:hAnsi="宋体"/>
                <w:color w:val="auto"/>
                <w:szCs w:val="21"/>
              </w:rPr>
            </w:pPr>
            <w:r>
              <w:rPr>
                <w:rFonts w:hint="eastAsia" w:ascii="宋体" w:hAnsi="宋体"/>
                <w:color w:val="auto"/>
                <w:szCs w:val="21"/>
              </w:rPr>
              <w:t>1</w:t>
            </w:r>
          </w:p>
        </w:tc>
        <w:tc>
          <w:tcPr>
            <w:tcW w:w="6379" w:type="dxa"/>
            <w:vAlign w:val="center"/>
          </w:tcPr>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000000"/>
                <w:kern w:val="0"/>
                <w:sz w:val="21"/>
                <w:szCs w:val="21"/>
                <w:lang w:val="en-US" w:eastAsia="zh-CN" w:bidi="ar"/>
              </w:rPr>
              <w:t>工</w:t>
            </w:r>
            <w:r>
              <w:rPr>
                <w:rFonts w:hint="eastAsia" w:ascii="宋体" w:hAnsi="宋体" w:eastAsia="宋体" w:cs="宋体"/>
                <w:color w:val="000000"/>
                <w:kern w:val="0"/>
                <w:sz w:val="21"/>
                <w:szCs w:val="21"/>
                <w:highlight w:val="none"/>
                <w:lang w:val="en-US" w:eastAsia="zh-CN" w:bidi="ar"/>
              </w:rPr>
              <w:t>程师，具有交通运输主管部</w:t>
            </w:r>
            <w:r>
              <w:rPr>
                <w:rFonts w:hint="eastAsia" w:ascii="宋体" w:hAnsi="宋体" w:cs="宋体"/>
                <w:color w:val="000000"/>
                <w:kern w:val="0"/>
                <w:sz w:val="21"/>
                <w:szCs w:val="21"/>
                <w:highlight w:val="none"/>
                <w:lang w:val="en-US" w:eastAsia="zh-CN" w:bidi="ar"/>
              </w:rPr>
              <w:t>门</w:t>
            </w:r>
            <w:r>
              <w:rPr>
                <w:rFonts w:hint="eastAsia" w:ascii="宋体" w:hAnsi="宋体" w:eastAsia="宋体" w:cs="宋体"/>
                <w:color w:val="000000"/>
                <w:kern w:val="0"/>
                <w:sz w:val="21"/>
                <w:szCs w:val="21"/>
                <w:highlight w:val="none"/>
                <w:lang w:val="en-US" w:eastAsia="zh-CN" w:bidi="ar"/>
              </w:rPr>
              <w:t>颁</w:t>
            </w:r>
            <w:r>
              <w:rPr>
                <w:rFonts w:hint="eastAsia" w:ascii="宋体" w:hAnsi="宋体" w:eastAsia="宋体" w:cs="宋体"/>
                <w:color w:val="auto"/>
                <w:kern w:val="0"/>
                <w:sz w:val="21"/>
                <w:szCs w:val="21"/>
                <w:highlight w:val="none"/>
                <w:lang w:val="en-US" w:eastAsia="zh-CN" w:bidi="ar"/>
              </w:rPr>
              <w:t>发的</w:t>
            </w:r>
            <w:r>
              <w:rPr>
                <w:rFonts w:hint="eastAsia" w:ascii="宋体" w:hAnsi="宋体" w:cs="宋体"/>
                <w:color w:val="auto"/>
                <w:kern w:val="0"/>
                <w:sz w:val="21"/>
                <w:szCs w:val="21"/>
                <w:highlight w:val="none"/>
                <w:lang w:val="en-US" w:eastAsia="zh-CN" w:bidi="ar"/>
              </w:rPr>
              <w:t>机电工程专业试验检测工程师证书或</w:t>
            </w:r>
            <w:r>
              <w:rPr>
                <w:rFonts w:hint="eastAsia" w:ascii="宋体" w:hAnsi="宋体" w:eastAsia="宋体" w:cs="宋体"/>
                <w:color w:val="auto"/>
                <w:kern w:val="0"/>
                <w:sz w:val="21"/>
                <w:szCs w:val="21"/>
                <w:highlight w:val="none"/>
                <w:lang w:val="en-US" w:eastAsia="zh-CN" w:bidi="ar"/>
              </w:rPr>
              <w:t>交通工程专业试验检测师证书，且在投标单位进行登记；</w:t>
            </w:r>
          </w:p>
          <w:p>
            <w:pPr>
              <w:keepNext w:val="0"/>
              <w:keepLines w:val="0"/>
              <w:widowControl/>
              <w:suppressLineNumbers w:val="0"/>
              <w:jc w:val="left"/>
              <w:rPr>
                <w:rFonts w:hint="eastAsia" w:ascii="宋体" w:hAnsi="宋体" w:eastAsia="宋体"/>
                <w:color w:val="auto"/>
                <w:szCs w:val="21"/>
                <w:lang w:eastAsia="zh-CN"/>
              </w:rPr>
            </w:pPr>
            <w:r>
              <w:rPr>
                <w:rFonts w:hint="eastAsia" w:ascii="宋体" w:hAnsi="宋体" w:eastAsia="宋体" w:cs="宋体"/>
                <w:color w:val="000000"/>
                <w:kern w:val="0"/>
                <w:sz w:val="21"/>
                <w:szCs w:val="21"/>
                <w:highlight w:val="none"/>
                <w:lang w:val="en-US" w:eastAsia="zh-CN" w:bidi="ar"/>
              </w:rPr>
              <w:t xml:space="preserve">近 </w:t>
            </w:r>
            <w:r>
              <w:rPr>
                <w:rFonts w:hint="eastAsia" w:ascii="宋体" w:hAnsi="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val="en-US" w:eastAsia="zh-CN" w:bidi="ar"/>
              </w:rPr>
              <w:t>年（201</w:t>
            </w:r>
            <w:r>
              <w:rPr>
                <w:rFonts w:hint="eastAsia" w:ascii="宋体" w:hAnsi="宋体" w:cs="宋体"/>
                <w:color w:val="000000"/>
                <w:kern w:val="0"/>
                <w:sz w:val="21"/>
                <w:szCs w:val="21"/>
                <w:highlight w:val="none"/>
                <w:lang w:val="en-US" w:eastAsia="zh-CN" w:bidi="ar"/>
              </w:rPr>
              <w:t>8</w:t>
            </w:r>
            <w:r>
              <w:rPr>
                <w:rFonts w:hint="eastAsia" w:ascii="宋体" w:hAnsi="宋体" w:eastAsia="宋体" w:cs="宋体"/>
                <w:color w:val="000000"/>
                <w:kern w:val="0"/>
                <w:sz w:val="21"/>
                <w:szCs w:val="21"/>
                <w:highlight w:val="none"/>
                <w:lang w:val="en-US" w:eastAsia="zh-CN" w:bidi="ar"/>
              </w:rPr>
              <w:t xml:space="preserve"> 年 </w:t>
            </w:r>
            <w:r>
              <w:rPr>
                <w:rFonts w:hint="eastAsia" w:ascii="宋体" w:hAnsi="宋体" w:cs="宋体"/>
                <w:color w:val="000000"/>
                <w:kern w:val="0"/>
                <w:sz w:val="21"/>
                <w:szCs w:val="21"/>
                <w:highlight w:val="none"/>
                <w:lang w:val="en-US" w:eastAsia="zh-CN" w:bidi="ar"/>
              </w:rPr>
              <w:t>9</w:t>
            </w:r>
            <w:r>
              <w:rPr>
                <w:rFonts w:hint="eastAsia" w:ascii="宋体" w:hAnsi="宋体" w:eastAsia="宋体" w:cs="宋体"/>
                <w:color w:val="000000"/>
                <w:kern w:val="0"/>
                <w:sz w:val="21"/>
                <w:szCs w:val="21"/>
                <w:highlight w:val="none"/>
                <w:lang w:val="en-US" w:eastAsia="zh-CN" w:bidi="ar"/>
              </w:rPr>
              <w:t xml:space="preserve"> 月 1 日</w:t>
            </w:r>
            <w:r>
              <w:rPr>
                <w:rFonts w:hint="eastAsia" w:ascii="宋体" w:hAnsi="宋体"/>
                <w:color w:val="auto"/>
                <w:kern w:val="0"/>
                <w:szCs w:val="21"/>
              </w:rPr>
              <w:t>投标截止时间</w:t>
            </w:r>
            <w:r>
              <w:rPr>
                <w:rFonts w:hint="eastAsia" w:ascii="宋体" w:hAnsi="宋体" w:eastAsia="宋体" w:cs="宋体"/>
                <w:color w:val="000000"/>
                <w:kern w:val="0"/>
                <w:sz w:val="21"/>
                <w:szCs w:val="21"/>
                <w:highlight w:val="none"/>
                <w:lang w:val="en-US" w:eastAsia="zh-CN" w:bidi="ar"/>
              </w:rPr>
              <w:t>，以合同签订时间为准）至少担任过 1 项高速公路机电工程检测项目的项目负责人</w:t>
            </w:r>
            <w:r>
              <w:rPr>
                <w:rFonts w:hint="eastAsia" w:ascii="宋体" w:hAnsi="宋体" w:cs="宋体"/>
                <w:color w:val="000000"/>
                <w:kern w:val="0"/>
                <w:sz w:val="21"/>
                <w:szCs w:val="21"/>
                <w:lang w:val="en-US" w:eastAsia="zh-CN" w:bidi="ar"/>
              </w:rPr>
              <w:t>。</w:t>
            </w:r>
          </w:p>
        </w:tc>
      </w:tr>
    </w:tbl>
    <w:p>
      <w:pPr>
        <w:rPr>
          <w:rFonts w:ascii="宋体" w:hAnsi="宋体"/>
          <w:color w:val="auto"/>
          <w:sz w:val="24"/>
          <w:szCs w:val="24"/>
        </w:rPr>
      </w:pPr>
    </w:p>
    <w:p>
      <w:pPr>
        <w:pStyle w:val="4"/>
        <w:snapToGrid w:val="0"/>
        <w:spacing w:before="156" w:beforeLines="50" w:after="156" w:afterLines="50" w:line="240" w:lineRule="auto"/>
        <w:rPr>
          <w:rFonts w:ascii="宋体" w:hAnsi="宋体"/>
          <w:color w:val="auto"/>
          <w:sz w:val="24"/>
          <w:szCs w:val="24"/>
        </w:rPr>
      </w:pPr>
      <w:r>
        <w:rPr>
          <w:rFonts w:ascii="黑体" w:eastAsia="黑体"/>
          <w:color w:val="auto"/>
          <w:spacing w:val="-8"/>
          <w:sz w:val="24"/>
          <w:szCs w:val="24"/>
        </w:rPr>
        <w:br w:type="page"/>
      </w:r>
      <w:bookmarkStart w:id="1" w:name="_Toc134896104"/>
      <w:r>
        <w:rPr>
          <w:rFonts w:hint="eastAsia" w:ascii="宋体" w:hAnsi="宋体"/>
          <w:color w:val="auto"/>
          <w:sz w:val="24"/>
          <w:szCs w:val="24"/>
        </w:rPr>
        <w:t>附件</w:t>
      </w:r>
      <w:r>
        <w:rPr>
          <w:rFonts w:ascii="宋体" w:hAnsi="宋体"/>
          <w:color w:val="auto"/>
          <w:sz w:val="24"/>
          <w:szCs w:val="24"/>
        </w:rPr>
        <w:t>2</w:t>
      </w:r>
      <w:r>
        <w:rPr>
          <w:rFonts w:hint="eastAsia" w:ascii="宋体" w:hAnsi="宋体"/>
          <w:color w:val="auto"/>
          <w:sz w:val="24"/>
          <w:szCs w:val="24"/>
        </w:rPr>
        <w:t>：评标办法</w:t>
      </w:r>
      <w:bookmarkEnd w:id="1"/>
    </w:p>
    <w:p>
      <w:pPr>
        <w:pStyle w:val="4"/>
        <w:snapToGrid w:val="0"/>
        <w:spacing w:before="120" w:after="120" w:line="240" w:lineRule="auto"/>
        <w:rPr>
          <w:color w:val="auto"/>
          <w:sz w:val="24"/>
          <w:szCs w:val="24"/>
        </w:rPr>
      </w:pPr>
      <w:bookmarkStart w:id="2" w:name="_Toc134896105"/>
      <w:bookmarkStart w:id="3" w:name="_Toc66337244"/>
      <w:bookmarkStart w:id="4" w:name="_Toc65857110"/>
      <w:bookmarkStart w:id="5" w:name="_Toc65820978"/>
      <w:bookmarkStart w:id="6" w:name="_Toc66984522"/>
      <w:r>
        <w:rPr>
          <w:rFonts w:hint="eastAsia"/>
          <w:color w:val="auto"/>
          <w:sz w:val="24"/>
          <w:szCs w:val="24"/>
        </w:rPr>
        <w:t>评标办法前附表</w:t>
      </w:r>
      <w:bookmarkEnd w:id="2"/>
      <w:bookmarkEnd w:id="3"/>
      <w:bookmarkEnd w:id="4"/>
      <w:bookmarkEnd w:id="5"/>
      <w:bookmarkEnd w:id="6"/>
    </w:p>
    <w:tbl>
      <w:tblPr>
        <w:tblStyle w:val="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7"/>
        <w:gridCol w:w="7641"/>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958" w:type="dxa"/>
            <w:gridSpan w:val="3"/>
            <w:vAlign w:val="center"/>
          </w:tcPr>
          <w:p>
            <w:pPr>
              <w:jc w:val="center"/>
              <w:rPr>
                <w:rFonts w:ascii="宋体" w:hAnsi="宋体"/>
                <w:color w:val="auto"/>
              </w:rPr>
            </w:pPr>
            <w:r>
              <w:rPr>
                <w:rFonts w:hint="eastAsia" w:ascii="宋体" w:hAnsi="宋体"/>
                <w:color w:val="auto"/>
              </w:rPr>
              <w:t>条款号</w:t>
            </w:r>
          </w:p>
        </w:tc>
        <w:tc>
          <w:tcPr>
            <w:tcW w:w="7648" w:type="dxa"/>
            <w:gridSpan w:val="2"/>
            <w:vAlign w:val="center"/>
          </w:tcPr>
          <w:p>
            <w:pPr>
              <w:jc w:val="center"/>
              <w:rPr>
                <w:rFonts w:ascii="宋体" w:hAnsi="宋体"/>
                <w:color w:val="auto"/>
              </w:rPr>
            </w:pPr>
            <w:r>
              <w:rPr>
                <w:rFonts w:hint="eastAsia" w:ascii="宋体" w:hAnsi="宋体"/>
                <w:color w:val="auto"/>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Pr>
        <w:tc>
          <w:tcPr>
            <w:tcW w:w="817" w:type="dxa"/>
            <w:vAlign w:val="center"/>
          </w:tcPr>
          <w:p>
            <w:pPr>
              <w:jc w:val="center"/>
              <w:rPr>
                <w:rFonts w:ascii="宋体" w:hAnsi="宋体"/>
                <w:color w:val="auto"/>
              </w:rPr>
            </w:pPr>
            <w:r>
              <w:rPr>
                <w:rFonts w:hint="eastAsia" w:ascii="宋体" w:hAnsi="宋体"/>
                <w:color w:val="auto"/>
              </w:rPr>
              <w:t>1</w:t>
            </w:r>
          </w:p>
        </w:tc>
        <w:tc>
          <w:tcPr>
            <w:tcW w:w="1134" w:type="dxa"/>
            <w:vAlign w:val="center"/>
          </w:tcPr>
          <w:p>
            <w:pPr>
              <w:jc w:val="center"/>
              <w:rPr>
                <w:rFonts w:ascii="宋体" w:hAnsi="宋体"/>
                <w:color w:val="auto"/>
              </w:rPr>
            </w:pPr>
            <w:r>
              <w:rPr>
                <w:rFonts w:hint="eastAsia" w:ascii="宋体" w:hAnsi="宋体"/>
                <w:color w:val="auto"/>
              </w:rPr>
              <w:t>评标方法</w:t>
            </w:r>
          </w:p>
        </w:tc>
        <w:tc>
          <w:tcPr>
            <w:tcW w:w="7648" w:type="dxa"/>
            <w:gridSpan w:val="2"/>
            <w:vAlign w:val="center"/>
          </w:tcPr>
          <w:p>
            <w:pPr>
              <w:ind w:firstLine="315" w:firstLineChars="150"/>
              <w:jc w:val="left"/>
              <w:rPr>
                <w:rFonts w:ascii="宋体" w:hAnsi="宋体"/>
                <w:color w:val="auto"/>
              </w:rPr>
            </w:pPr>
            <w:r>
              <w:rPr>
                <w:rFonts w:hint="eastAsia" w:ascii="宋体" w:hAnsi="宋体"/>
                <w:color w:val="auto"/>
              </w:rPr>
              <w:t>本次评标采用综合评估法。评标委员会对满足招标文件实质性要求的投标文件，按照本章第2.2款规定的评分标准进行打分，并按得分由高到低顺序推荐1-3名中标候选人，但投标报价低于其成本的除外。综合评分相等时，评标委员会依次按照以下优先顺序推荐中标候选人：</w:t>
            </w:r>
          </w:p>
          <w:p>
            <w:pPr>
              <w:ind w:firstLine="315" w:firstLineChars="150"/>
              <w:jc w:val="left"/>
              <w:rPr>
                <w:rFonts w:ascii="宋体" w:hAnsi="宋体"/>
                <w:color w:val="auto"/>
              </w:rPr>
            </w:pPr>
            <w:r>
              <w:rPr>
                <w:rFonts w:hint="eastAsia" w:ascii="宋体" w:hAnsi="宋体"/>
                <w:color w:val="auto"/>
              </w:rPr>
              <w:t>（1）评标价低的投标人优先；</w:t>
            </w:r>
          </w:p>
          <w:p>
            <w:pPr>
              <w:ind w:firstLine="315" w:firstLineChars="150"/>
              <w:jc w:val="left"/>
              <w:rPr>
                <w:rFonts w:hint="eastAsia" w:ascii="宋体" w:hAnsi="宋体"/>
                <w:color w:val="auto"/>
              </w:rPr>
            </w:pPr>
            <w:r>
              <w:rPr>
                <w:rFonts w:hint="eastAsia" w:ascii="宋体" w:hAnsi="宋体"/>
                <w:color w:val="auto"/>
              </w:rPr>
              <w:t>（2）技术建议书得分较高的投标人优先；</w:t>
            </w:r>
          </w:p>
          <w:p>
            <w:pPr>
              <w:ind w:firstLine="315" w:firstLineChars="150"/>
              <w:jc w:val="left"/>
              <w:rPr>
                <w:rFonts w:hint="eastAsia" w:ascii="宋体" w:hAnsi="宋体"/>
                <w:color w:val="auto"/>
              </w:rPr>
            </w:pPr>
            <w:r>
              <w:rPr>
                <w:rFonts w:hint="eastAsia" w:ascii="宋体" w:hAnsi="宋体"/>
                <w:color w:val="auto"/>
              </w:rPr>
              <w:t>（3）投标文件中满足附录2资格审查条件(业绩最低要求) 的业绩累计金额高的优先。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Pr>
        <w:tc>
          <w:tcPr>
            <w:tcW w:w="817" w:type="dxa"/>
            <w:vAlign w:val="center"/>
          </w:tcPr>
          <w:p>
            <w:pPr>
              <w:jc w:val="center"/>
              <w:rPr>
                <w:rFonts w:ascii="宋体" w:hAnsi="宋体"/>
                <w:color w:val="auto"/>
              </w:rPr>
            </w:pPr>
            <w:r>
              <w:rPr>
                <w:rFonts w:ascii="宋体" w:hAnsi="宋体"/>
                <w:color w:val="auto"/>
              </w:rPr>
              <w:t>2.1.1</w:t>
            </w:r>
          </w:p>
          <w:p>
            <w:pPr>
              <w:jc w:val="center"/>
              <w:rPr>
                <w:rFonts w:ascii="宋体" w:hAnsi="宋体"/>
                <w:color w:val="auto"/>
              </w:rPr>
            </w:pPr>
            <w:r>
              <w:rPr>
                <w:rFonts w:ascii="宋体" w:hAnsi="宋体"/>
                <w:color w:val="auto"/>
              </w:rPr>
              <w:t>2.1.3</w:t>
            </w:r>
          </w:p>
        </w:tc>
        <w:tc>
          <w:tcPr>
            <w:tcW w:w="1134" w:type="dxa"/>
            <w:vAlign w:val="center"/>
          </w:tcPr>
          <w:p>
            <w:pPr>
              <w:jc w:val="center"/>
              <w:rPr>
                <w:rFonts w:ascii="宋体" w:hAnsi="宋体"/>
                <w:color w:val="auto"/>
              </w:rPr>
            </w:pPr>
            <w:r>
              <w:rPr>
                <w:rFonts w:hint="eastAsia" w:ascii="宋体" w:hAnsi="宋体"/>
                <w:color w:val="auto"/>
              </w:rPr>
              <w:t>形式评审与响应性评审标准</w:t>
            </w:r>
          </w:p>
        </w:tc>
        <w:tc>
          <w:tcPr>
            <w:tcW w:w="7648" w:type="dxa"/>
            <w:gridSpan w:val="2"/>
          </w:tcPr>
          <w:p>
            <w:pPr>
              <w:tabs>
                <w:tab w:val="left" w:pos="3060"/>
              </w:tabs>
              <w:spacing w:line="320" w:lineRule="exact"/>
              <w:rPr>
                <w:rFonts w:ascii="宋体" w:hAnsi="宋体"/>
                <w:b/>
                <w:color w:val="auto"/>
                <w:szCs w:val="21"/>
              </w:rPr>
            </w:pPr>
            <w:r>
              <w:rPr>
                <w:rFonts w:hint="eastAsia" w:ascii="宋体" w:hAnsi="宋体"/>
                <w:b/>
                <w:color w:val="auto"/>
                <w:szCs w:val="21"/>
              </w:rPr>
              <w:t>第一个信封（商务及技术文件）评审标准：</w:t>
            </w:r>
          </w:p>
          <w:p>
            <w:pPr>
              <w:tabs>
                <w:tab w:val="left" w:pos="3060"/>
              </w:tabs>
              <w:spacing w:line="320" w:lineRule="exact"/>
              <w:ind w:firstLine="210" w:firstLineChars="100"/>
              <w:rPr>
                <w:rFonts w:ascii="宋体" w:hAnsi="宋体"/>
                <w:color w:val="auto"/>
                <w:szCs w:val="21"/>
              </w:rPr>
            </w:pPr>
            <w:r>
              <w:rPr>
                <w:rFonts w:hint="eastAsia" w:ascii="宋体" w:hAnsi="宋体"/>
                <w:color w:val="auto"/>
                <w:szCs w:val="21"/>
              </w:rPr>
              <w:t>（1）投标文件按照招标文件规定的格式、内容填写，字迹清晰可辨：</w:t>
            </w:r>
          </w:p>
          <w:p>
            <w:pPr>
              <w:tabs>
                <w:tab w:val="left" w:pos="3060"/>
              </w:tabs>
              <w:spacing w:line="320" w:lineRule="exact"/>
              <w:ind w:firstLine="420" w:firstLineChars="200"/>
              <w:rPr>
                <w:rFonts w:ascii="宋体" w:hAnsi="宋体"/>
                <w:color w:val="auto"/>
                <w:szCs w:val="21"/>
              </w:rPr>
            </w:pPr>
            <w:r>
              <w:rPr>
                <w:rFonts w:hint="eastAsia" w:ascii="宋体" w:hAnsi="宋体"/>
                <w:color w:val="auto"/>
                <w:szCs w:val="21"/>
              </w:rPr>
              <w:t>a．投标函按招标文件规定填报了招标人名称、项目名称、补遗书编号（如有）、项目负责人相关信息、质量要求、安全目标、服务期限等内容；</w:t>
            </w:r>
          </w:p>
          <w:p>
            <w:pPr>
              <w:tabs>
                <w:tab w:val="left" w:pos="3060"/>
              </w:tabs>
              <w:spacing w:line="320" w:lineRule="exact"/>
              <w:ind w:firstLine="420" w:firstLineChars="200"/>
              <w:rPr>
                <w:rFonts w:ascii="宋体" w:hAnsi="宋体"/>
                <w:color w:val="auto"/>
                <w:szCs w:val="21"/>
              </w:rPr>
            </w:pPr>
            <w:r>
              <w:rPr>
                <w:rFonts w:hint="eastAsia" w:ascii="宋体" w:hAnsi="宋体"/>
                <w:color w:val="auto"/>
                <w:szCs w:val="21"/>
              </w:rPr>
              <w:t>b．投标文件组成齐全完整，内容均按规定填写。</w:t>
            </w:r>
          </w:p>
          <w:p>
            <w:pPr>
              <w:tabs>
                <w:tab w:val="left" w:pos="3060"/>
              </w:tabs>
              <w:spacing w:line="320" w:lineRule="exact"/>
              <w:ind w:firstLine="210" w:firstLineChars="100"/>
              <w:rPr>
                <w:rFonts w:hint="eastAsia" w:ascii="宋体" w:hAnsi="宋体"/>
                <w:bCs/>
                <w:color w:val="auto"/>
                <w:szCs w:val="21"/>
              </w:rPr>
            </w:pPr>
            <w:r>
              <w:rPr>
                <w:rFonts w:hint="eastAsia" w:ascii="宋体" w:hAnsi="宋体"/>
                <w:bCs/>
                <w:color w:val="auto"/>
                <w:szCs w:val="21"/>
              </w:rPr>
              <w:t>（</w:t>
            </w:r>
            <w:r>
              <w:rPr>
                <w:rFonts w:ascii="宋体" w:hAnsi="宋体"/>
                <w:bCs/>
                <w:color w:val="auto"/>
                <w:szCs w:val="21"/>
              </w:rPr>
              <w:t>2</w:t>
            </w:r>
            <w:r>
              <w:rPr>
                <w:rFonts w:hint="eastAsia" w:ascii="宋体" w:hAnsi="宋体"/>
                <w:bCs/>
                <w:color w:val="auto"/>
                <w:szCs w:val="21"/>
              </w:rPr>
              <w:t>）投标文件上法定代表人或其授权代理人的签字、投标人的单位章盖章齐全，符合招标文件规定。</w:t>
            </w:r>
          </w:p>
          <w:p>
            <w:pPr>
              <w:tabs>
                <w:tab w:val="left" w:pos="3060"/>
              </w:tabs>
              <w:spacing w:line="320" w:lineRule="exact"/>
              <w:ind w:firstLine="210" w:firstLineChars="100"/>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）投标人按照招标文件的规定提供了投标保证金：</w:t>
            </w:r>
          </w:p>
          <w:p>
            <w:pPr>
              <w:tabs>
                <w:tab w:val="left" w:pos="3060"/>
              </w:tabs>
              <w:spacing w:line="320" w:lineRule="exact"/>
              <w:ind w:firstLine="420" w:firstLineChars="200"/>
              <w:rPr>
                <w:rFonts w:ascii="宋体" w:hAnsi="宋体"/>
                <w:color w:val="auto"/>
                <w:szCs w:val="21"/>
              </w:rPr>
            </w:pPr>
            <w:r>
              <w:rPr>
                <w:rFonts w:hint="eastAsia" w:ascii="宋体" w:hAnsi="宋体"/>
                <w:color w:val="auto"/>
                <w:szCs w:val="21"/>
              </w:rPr>
              <w:t>a.投标保证金金额符合招标文件规定的金额，且投标保证金有效期不少于投标有效期；</w:t>
            </w:r>
          </w:p>
          <w:p>
            <w:pPr>
              <w:tabs>
                <w:tab w:val="left" w:pos="3060"/>
              </w:tabs>
              <w:spacing w:line="320" w:lineRule="exact"/>
              <w:ind w:firstLine="420" w:firstLineChars="200"/>
              <w:rPr>
                <w:rFonts w:ascii="宋体" w:hAnsi="宋体"/>
                <w:color w:val="auto"/>
                <w:szCs w:val="21"/>
              </w:rPr>
            </w:pPr>
            <w:r>
              <w:rPr>
                <w:rFonts w:hint="eastAsia" w:ascii="宋体" w:hAnsi="宋体"/>
                <w:color w:val="auto"/>
                <w:szCs w:val="21"/>
              </w:rPr>
              <w:t>b.若投标保证金采用</w:t>
            </w:r>
            <w:r>
              <w:rPr>
                <w:rFonts w:hint="eastAsia" w:ascii="宋体" w:hAnsi="宋体" w:cs="宋体"/>
                <w:color w:val="auto"/>
                <w:kern w:val="0"/>
                <w:szCs w:val="21"/>
              </w:rPr>
              <w:t>电汇或转账</w:t>
            </w:r>
            <w:r>
              <w:rPr>
                <w:rFonts w:hint="eastAsia" w:ascii="宋体" w:hAnsi="宋体"/>
                <w:color w:val="auto"/>
                <w:szCs w:val="21"/>
              </w:rPr>
              <w:t>形式提交，投标人应在递交投标文件截止时间之前，将投标保证金由投标人的基本账户转入招标人指定账户；</w:t>
            </w:r>
          </w:p>
          <w:p>
            <w:pPr>
              <w:tabs>
                <w:tab w:val="left" w:pos="3060"/>
              </w:tabs>
              <w:spacing w:line="320" w:lineRule="exact"/>
              <w:ind w:firstLine="210" w:firstLineChars="100"/>
              <w:rPr>
                <w:rFonts w:hint="eastAsia" w:ascii="宋体" w:hAnsi="宋体"/>
                <w:color w:val="auto"/>
                <w:szCs w:val="21"/>
              </w:rPr>
            </w:pPr>
            <w:r>
              <w:rPr>
                <w:rFonts w:hint="eastAsia" w:ascii="宋体" w:hAnsi="宋体"/>
                <w:color w:val="auto"/>
                <w:szCs w:val="21"/>
              </w:rPr>
              <w:t>c.若投标保证金采用银行保函形式</w:t>
            </w:r>
            <w:r>
              <w:rPr>
                <w:rFonts w:hint="eastAsia" w:ascii="宋体" w:hAnsi="宋体"/>
                <w:color w:val="auto"/>
                <w:szCs w:val="21"/>
                <w:highlight w:val="none"/>
              </w:rPr>
              <w:t>提交，</w:t>
            </w:r>
            <w:r>
              <w:rPr>
                <w:rFonts w:hint="eastAsia" w:ascii="宋体" w:hAnsi="宋体"/>
                <w:color w:val="auto"/>
                <w:szCs w:val="21"/>
              </w:rPr>
              <w:t>开具的保函满足招标文件要求。</w:t>
            </w:r>
          </w:p>
          <w:p>
            <w:pPr>
              <w:tabs>
                <w:tab w:val="left" w:pos="3060"/>
              </w:tabs>
              <w:spacing w:line="320" w:lineRule="exact"/>
              <w:ind w:firstLine="210" w:firstLineChars="100"/>
              <w:rPr>
                <w:rFonts w:ascii="宋体" w:hAnsi="宋体"/>
                <w:color w:val="auto"/>
                <w:szCs w:val="21"/>
              </w:rPr>
            </w:pPr>
            <w:r>
              <w:rPr>
                <w:rFonts w:hint="eastAsia" w:ascii="宋体" w:hAnsi="宋体"/>
                <w:color w:val="auto"/>
                <w:szCs w:val="21"/>
              </w:rPr>
              <w:t>d.若投标保证金采用保证保险形式提交，开具的保证保险满足招标文件要求。（</w:t>
            </w:r>
            <w:r>
              <w:rPr>
                <w:rFonts w:ascii="宋体" w:hAnsi="宋体"/>
                <w:color w:val="auto"/>
                <w:szCs w:val="21"/>
              </w:rPr>
              <w:t>4</w:t>
            </w:r>
            <w:r>
              <w:rPr>
                <w:rFonts w:hint="eastAsia" w:ascii="宋体" w:hAnsi="宋体"/>
                <w:color w:val="auto"/>
                <w:szCs w:val="21"/>
              </w:rPr>
              <w:t>）投标人法定代表人授权委托代理人签署投标文件的，须提交授权委托书。</w:t>
            </w:r>
          </w:p>
          <w:p>
            <w:pPr>
              <w:tabs>
                <w:tab w:val="left" w:pos="3060"/>
              </w:tabs>
              <w:spacing w:line="320" w:lineRule="exact"/>
              <w:ind w:firstLine="210" w:firstLineChars="100"/>
              <w:rPr>
                <w:rFonts w:ascii="宋体" w:hAnsi="宋体"/>
                <w:color w:val="auto"/>
                <w:szCs w:val="21"/>
              </w:rPr>
            </w:pPr>
            <w:r>
              <w:rPr>
                <w:rFonts w:hint="eastAsia" w:ascii="宋体" w:hAnsi="宋体"/>
                <w:color w:val="auto"/>
                <w:szCs w:val="21"/>
              </w:rPr>
              <w:t>（</w:t>
            </w:r>
            <w:r>
              <w:rPr>
                <w:rFonts w:ascii="宋体" w:hAnsi="宋体"/>
                <w:color w:val="auto"/>
                <w:szCs w:val="21"/>
              </w:rPr>
              <w:t>5</w:t>
            </w:r>
            <w:r>
              <w:rPr>
                <w:rFonts w:hint="eastAsia" w:ascii="宋体" w:hAnsi="宋体"/>
                <w:color w:val="auto"/>
                <w:szCs w:val="21"/>
              </w:rPr>
              <w:t>）投标人法定代表人亲自签署投标文件的，提供了法定代表人身份证明。</w:t>
            </w:r>
          </w:p>
          <w:p>
            <w:pPr>
              <w:tabs>
                <w:tab w:val="left" w:pos="3060"/>
              </w:tabs>
              <w:spacing w:line="320" w:lineRule="exact"/>
              <w:ind w:firstLine="210" w:firstLineChars="100"/>
              <w:rPr>
                <w:rFonts w:ascii="宋体" w:hAnsi="宋体"/>
                <w:color w:val="auto"/>
                <w:szCs w:val="21"/>
              </w:rPr>
            </w:pPr>
            <w:r>
              <w:rPr>
                <w:rFonts w:hint="eastAsia" w:ascii="宋体" w:hAnsi="宋体"/>
                <w:color w:val="auto"/>
                <w:szCs w:val="21"/>
              </w:rPr>
              <w:t>（</w:t>
            </w:r>
            <w:r>
              <w:rPr>
                <w:rFonts w:ascii="宋体" w:hAnsi="宋体"/>
                <w:color w:val="auto"/>
                <w:szCs w:val="21"/>
              </w:rPr>
              <w:t>6</w:t>
            </w:r>
            <w:r>
              <w:rPr>
                <w:rFonts w:hint="eastAsia" w:ascii="宋体" w:hAnsi="宋体"/>
                <w:color w:val="auto"/>
                <w:szCs w:val="21"/>
              </w:rPr>
              <w:t>）投标人未以联合体形式投标。</w:t>
            </w:r>
          </w:p>
          <w:p>
            <w:pPr>
              <w:tabs>
                <w:tab w:val="left" w:pos="3060"/>
              </w:tabs>
              <w:spacing w:line="320" w:lineRule="exact"/>
              <w:ind w:firstLine="210" w:firstLineChars="100"/>
              <w:rPr>
                <w:rFonts w:ascii="宋体" w:hAnsi="宋体"/>
                <w:color w:val="auto"/>
                <w:szCs w:val="21"/>
              </w:rPr>
            </w:pPr>
            <w:r>
              <w:rPr>
                <w:rFonts w:hint="eastAsia" w:ascii="宋体" w:hAnsi="宋体"/>
                <w:color w:val="auto"/>
                <w:szCs w:val="21"/>
              </w:rPr>
              <w:t>（</w:t>
            </w:r>
            <w:r>
              <w:rPr>
                <w:rFonts w:ascii="宋体" w:hAnsi="宋体"/>
                <w:color w:val="auto"/>
                <w:szCs w:val="21"/>
              </w:rPr>
              <w:t>7</w:t>
            </w:r>
            <w:r>
              <w:rPr>
                <w:rFonts w:hint="eastAsia" w:ascii="宋体" w:hAnsi="宋体"/>
                <w:color w:val="auto"/>
                <w:szCs w:val="21"/>
              </w:rPr>
              <w:t>）</w:t>
            </w:r>
            <w:r>
              <w:rPr>
                <w:rFonts w:ascii="宋体" w:hAnsi="宋体"/>
                <w:color w:val="auto"/>
                <w:szCs w:val="21"/>
              </w:rPr>
              <w:t>投标人未对本项目提出分包计划</w:t>
            </w:r>
            <w:r>
              <w:rPr>
                <w:rFonts w:hint="eastAsia" w:ascii="宋体" w:hAnsi="宋体"/>
                <w:color w:val="auto"/>
                <w:szCs w:val="21"/>
              </w:rPr>
              <w:t>。</w:t>
            </w:r>
          </w:p>
          <w:p>
            <w:pPr>
              <w:tabs>
                <w:tab w:val="left" w:pos="3060"/>
              </w:tabs>
              <w:spacing w:line="320" w:lineRule="exact"/>
              <w:ind w:firstLine="210" w:firstLineChars="100"/>
              <w:rPr>
                <w:rFonts w:ascii="宋体" w:hAnsi="宋体"/>
                <w:color w:val="auto"/>
                <w:szCs w:val="21"/>
              </w:rPr>
            </w:pPr>
            <w:r>
              <w:rPr>
                <w:rFonts w:hint="eastAsia" w:ascii="宋体" w:hAnsi="宋体"/>
                <w:color w:val="auto"/>
                <w:szCs w:val="21"/>
              </w:rPr>
              <w:t>（</w:t>
            </w:r>
            <w:r>
              <w:rPr>
                <w:rFonts w:ascii="宋体" w:hAnsi="宋体"/>
                <w:color w:val="auto"/>
                <w:szCs w:val="21"/>
              </w:rPr>
              <w:t>8</w:t>
            </w:r>
            <w:r>
              <w:rPr>
                <w:rFonts w:hint="eastAsia" w:ascii="宋体" w:hAnsi="宋体"/>
                <w:color w:val="auto"/>
                <w:szCs w:val="21"/>
              </w:rPr>
              <w:t>）同一投标人未提交两个以上不同的投标文件。</w:t>
            </w:r>
          </w:p>
          <w:p>
            <w:pPr>
              <w:tabs>
                <w:tab w:val="left" w:pos="3060"/>
              </w:tabs>
              <w:spacing w:line="320" w:lineRule="exact"/>
              <w:ind w:firstLine="210" w:firstLineChars="100"/>
              <w:rPr>
                <w:rFonts w:ascii="宋体" w:hAnsi="宋体"/>
                <w:color w:val="auto"/>
                <w:szCs w:val="21"/>
              </w:rPr>
            </w:pPr>
            <w:r>
              <w:rPr>
                <w:rFonts w:hint="eastAsia" w:ascii="宋体" w:hAnsi="宋体"/>
                <w:color w:val="auto"/>
                <w:szCs w:val="21"/>
              </w:rPr>
              <w:t>（</w:t>
            </w:r>
            <w:r>
              <w:rPr>
                <w:rFonts w:ascii="宋体" w:hAnsi="宋体"/>
                <w:color w:val="auto"/>
                <w:szCs w:val="21"/>
              </w:rPr>
              <w:t>9</w:t>
            </w:r>
            <w:r>
              <w:rPr>
                <w:rFonts w:hint="eastAsia" w:ascii="宋体" w:hAnsi="宋体"/>
                <w:color w:val="auto"/>
                <w:szCs w:val="21"/>
              </w:rPr>
              <w:t>）投标文件中未出现有关投标报价的内容。</w:t>
            </w:r>
          </w:p>
          <w:p>
            <w:pPr>
              <w:tabs>
                <w:tab w:val="left" w:pos="3060"/>
              </w:tabs>
              <w:spacing w:line="320" w:lineRule="exact"/>
              <w:ind w:firstLine="210" w:firstLineChars="100"/>
              <w:rPr>
                <w:rFonts w:ascii="宋体" w:hAnsi="宋体"/>
                <w:color w:val="auto"/>
                <w:szCs w:val="21"/>
              </w:rPr>
            </w:pPr>
            <w:r>
              <w:rPr>
                <w:rFonts w:hint="eastAsia" w:ascii="宋体" w:hAnsi="宋体"/>
                <w:color w:val="auto"/>
                <w:szCs w:val="21"/>
              </w:rPr>
              <w:t>（</w:t>
            </w:r>
            <w:r>
              <w:rPr>
                <w:rFonts w:ascii="宋体" w:hAnsi="宋体"/>
                <w:color w:val="auto"/>
                <w:szCs w:val="21"/>
              </w:rPr>
              <w:t>10</w:t>
            </w:r>
            <w:r>
              <w:rPr>
                <w:rFonts w:hint="eastAsia" w:ascii="宋体" w:hAnsi="宋体"/>
                <w:color w:val="auto"/>
                <w:szCs w:val="21"/>
              </w:rPr>
              <w:t>）投标文件载明的招标项目完成期限未超过招标文件规定的时限。</w:t>
            </w:r>
          </w:p>
          <w:p>
            <w:pPr>
              <w:tabs>
                <w:tab w:val="left" w:pos="3060"/>
              </w:tabs>
              <w:spacing w:line="320" w:lineRule="exact"/>
              <w:ind w:firstLine="210" w:firstLineChars="100"/>
              <w:rPr>
                <w:rFonts w:ascii="宋体" w:hAnsi="宋体"/>
                <w:color w:val="auto"/>
                <w:szCs w:val="21"/>
              </w:rPr>
            </w:pPr>
            <w:r>
              <w:rPr>
                <w:rFonts w:hint="eastAsia" w:ascii="宋体" w:hAnsi="宋体"/>
                <w:color w:val="auto"/>
                <w:szCs w:val="21"/>
              </w:rPr>
              <w:t>（</w:t>
            </w:r>
            <w:r>
              <w:rPr>
                <w:rFonts w:ascii="宋体" w:hAnsi="宋体"/>
                <w:color w:val="auto"/>
                <w:szCs w:val="21"/>
              </w:rPr>
              <w:t>11</w:t>
            </w:r>
            <w:r>
              <w:rPr>
                <w:rFonts w:hint="eastAsia" w:ascii="宋体" w:hAnsi="宋体"/>
                <w:color w:val="auto"/>
                <w:szCs w:val="21"/>
              </w:rPr>
              <w:t>）投标文件对招标文件的实质性要求和条件作出响应。</w:t>
            </w:r>
          </w:p>
          <w:p>
            <w:pPr>
              <w:tabs>
                <w:tab w:val="left" w:pos="3060"/>
              </w:tabs>
              <w:spacing w:line="320" w:lineRule="exact"/>
              <w:ind w:firstLine="210" w:firstLineChars="100"/>
              <w:rPr>
                <w:rFonts w:ascii="宋体" w:hAnsi="宋体"/>
                <w:color w:val="auto"/>
                <w:szCs w:val="21"/>
              </w:rPr>
            </w:pPr>
            <w:r>
              <w:rPr>
                <w:rFonts w:hint="eastAsia" w:ascii="宋体" w:hAnsi="宋体"/>
                <w:color w:val="auto"/>
                <w:szCs w:val="21"/>
              </w:rPr>
              <w:t>（1</w:t>
            </w:r>
            <w:r>
              <w:rPr>
                <w:rFonts w:ascii="宋体" w:hAnsi="宋体"/>
                <w:color w:val="auto"/>
                <w:szCs w:val="21"/>
              </w:rPr>
              <w:t>2</w:t>
            </w:r>
            <w:r>
              <w:rPr>
                <w:rFonts w:hint="eastAsia" w:ascii="宋体" w:hAnsi="宋体"/>
                <w:color w:val="auto"/>
                <w:szCs w:val="21"/>
              </w:rPr>
              <w:t>）权利义务符合招标文件规定：</w:t>
            </w:r>
          </w:p>
          <w:p>
            <w:pPr>
              <w:tabs>
                <w:tab w:val="left" w:pos="3060"/>
              </w:tabs>
              <w:spacing w:line="320" w:lineRule="exact"/>
              <w:ind w:firstLine="210" w:firstLineChars="100"/>
              <w:rPr>
                <w:rFonts w:ascii="宋体" w:hAnsi="宋体"/>
                <w:color w:val="auto"/>
                <w:szCs w:val="21"/>
              </w:rPr>
            </w:pPr>
            <w:r>
              <w:rPr>
                <w:rFonts w:hint="eastAsia" w:ascii="宋体" w:hAnsi="宋体"/>
                <w:color w:val="auto"/>
                <w:szCs w:val="21"/>
              </w:rPr>
              <w:t>a.投标人应接受招标文件规定的风险划分原则，未提出新的风险划分办法；</w:t>
            </w:r>
          </w:p>
          <w:p>
            <w:pPr>
              <w:tabs>
                <w:tab w:val="left" w:pos="3060"/>
              </w:tabs>
              <w:spacing w:line="320" w:lineRule="exact"/>
              <w:ind w:firstLine="210" w:firstLineChars="100"/>
              <w:rPr>
                <w:rFonts w:ascii="宋体" w:hAnsi="宋体"/>
                <w:color w:val="auto"/>
                <w:szCs w:val="21"/>
              </w:rPr>
            </w:pPr>
            <w:r>
              <w:rPr>
                <w:rFonts w:hint="eastAsia" w:ascii="宋体" w:hAnsi="宋体"/>
                <w:color w:val="auto"/>
                <w:szCs w:val="21"/>
              </w:rPr>
              <w:t>b.投标人未增加</w:t>
            </w:r>
            <w:r>
              <w:rPr>
                <w:rFonts w:hint="eastAsia" w:ascii="宋体" w:hAnsi="宋体"/>
                <w:color w:val="auto"/>
                <w:szCs w:val="21"/>
                <w:lang w:eastAsia="zh-CN"/>
              </w:rPr>
              <w:t>招标人</w:t>
            </w:r>
            <w:r>
              <w:rPr>
                <w:rFonts w:hint="eastAsia" w:ascii="宋体" w:hAnsi="宋体"/>
                <w:color w:val="auto"/>
                <w:szCs w:val="21"/>
              </w:rPr>
              <w:t>的责任范围，或减少投标人义务；</w:t>
            </w:r>
          </w:p>
          <w:p>
            <w:pPr>
              <w:tabs>
                <w:tab w:val="left" w:pos="3060"/>
              </w:tabs>
              <w:spacing w:line="320" w:lineRule="exact"/>
              <w:ind w:firstLine="210" w:firstLineChars="100"/>
              <w:rPr>
                <w:rFonts w:ascii="宋体" w:hAnsi="宋体"/>
                <w:color w:val="auto"/>
                <w:szCs w:val="21"/>
              </w:rPr>
            </w:pPr>
            <w:r>
              <w:rPr>
                <w:rFonts w:hint="eastAsia" w:ascii="宋体" w:hAnsi="宋体"/>
                <w:color w:val="auto"/>
                <w:szCs w:val="21"/>
              </w:rPr>
              <w:t>c.投标人未提出不同的支付办法；</w:t>
            </w:r>
          </w:p>
          <w:p>
            <w:pPr>
              <w:tabs>
                <w:tab w:val="left" w:pos="3060"/>
              </w:tabs>
              <w:spacing w:line="320" w:lineRule="exact"/>
              <w:ind w:firstLine="210" w:firstLineChars="100"/>
              <w:rPr>
                <w:rFonts w:ascii="宋体" w:hAnsi="宋体"/>
                <w:color w:val="auto"/>
                <w:szCs w:val="21"/>
              </w:rPr>
            </w:pPr>
            <w:r>
              <w:rPr>
                <w:rFonts w:hint="eastAsia" w:ascii="宋体" w:hAnsi="宋体"/>
                <w:color w:val="auto"/>
                <w:szCs w:val="21"/>
              </w:rPr>
              <w:t>d.投标人对合同纠纷、事故处理办法未提出异议；</w:t>
            </w:r>
          </w:p>
          <w:p>
            <w:pPr>
              <w:tabs>
                <w:tab w:val="left" w:pos="3060"/>
              </w:tabs>
              <w:spacing w:line="320" w:lineRule="exact"/>
              <w:ind w:firstLine="210" w:firstLineChars="100"/>
              <w:rPr>
                <w:rFonts w:ascii="宋体" w:hAnsi="宋体"/>
                <w:color w:val="auto"/>
                <w:szCs w:val="21"/>
              </w:rPr>
            </w:pPr>
            <w:r>
              <w:rPr>
                <w:rFonts w:hint="eastAsia" w:ascii="宋体" w:hAnsi="宋体"/>
                <w:color w:val="auto"/>
                <w:szCs w:val="21"/>
              </w:rPr>
              <w:t>e.投标人在投标活动中无欺诈行为；</w:t>
            </w:r>
          </w:p>
          <w:p>
            <w:pPr>
              <w:tabs>
                <w:tab w:val="left" w:pos="3060"/>
              </w:tabs>
              <w:spacing w:line="320" w:lineRule="exact"/>
              <w:ind w:firstLine="210" w:firstLineChars="100"/>
              <w:rPr>
                <w:rFonts w:ascii="宋体" w:hAnsi="宋体"/>
                <w:color w:val="auto"/>
                <w:szCs w:val="21"/>
              </w:rPr>
            </w:pPr>
            <w:r>
              <w:rPr>
                <w:rFonts w:hint="eastAsia" w:ascii="宋体" w:hAnsi="宋体"/>
                <w:color w:val="auto"/>
                <w:szCs w:val="21"/>
              </w:rPr>
              <w:t>f.投标人未对合同条款有重要保留。</w:t>
            </w:r>
          </w:p>
          <w:p>
            <w:pPr>
              <w:tabs>
                <w:tab w:val="left" w:pos="3060"/>
              </w:tabs>
              <w:spacing w:line="320" w:lineRule="exact"/>
              <w:ind w:firstLine="210" w:firstLineChars="100"/>
              <w:rPr>
                <w:rFonts w:ascii="宋体" w:hAnsi="宋体"/>
                <w:color w:val="auto"/>
                <w:szCs w:val="21"/>
              </w:rPr>
            </w:pPr>
          </w:p>
          <w:p>
            <w:pPr>
              <w:tabs>
                <w:tab w:val="left" w:pos="3060"/>
              </w:tabs>
              <w:spacing w:line="320" w:lineRule="exact"/>
              <w:rPr>
                <w:rFonts w:ascii="宋体" w:hAnsi="宋体"/>
                <w:b/>
                <w:color w:val="auto"/>
                <w:szCs w:val="21"/>
              </w:rPr>
            </w:pPr>
            <w:r>
              <w:rPr>
                <w:rFonts w:hint="eastAsia" w:ascii="宋体" w:hAnsi="宋体"/>
                <w:b/>
                <w:color w:val="auto"/>
                <w:szCs w:val="21"/>
              </w:rPr>
              <w:t>第二个信封（报价文件）评审标准：</w:t>
            </w:r>
          </w:p>
          <w:p>
            <w:pPr>
              <w:tabs>
                <w:tab w:val="left" w:pos="3060"/>
              </w:tabs>
              <w:spacing w:line="320" w:lineRule="exact"/>
              <w:ind w:firstLine="210" w:firstLineChars="100"/>
              <w:rPr>
                <w:rFonts w:ascii="宋体" w:hAnsi="宋体"/>
                <w:color w:val="auto"/>
                <w:szCs w:val="21"/>
              </w:rPr>
            </w:pPr>
            <w:r>
              <w:rPr>
                <w:rFonts w:hint="eastAsia" w:ascii="宋体" w:hAnsi="宋体"/>
                <w:color w:val="auto"/>
                <w:szCs w:val="21"/>
              </w:rPr>
              <w:t>（1）投标文件按照招标文件规定的格式、内容填写，字迹清晰可辨，内容齐全完整：</w:t>
            </w:r>
          </w:p>
          <w:p>
            <w:pPr>
              <w:tabs>
                <w:tab w:val="left" w:pos="3060"/>
              </w:tabs>
              <w:spacing w:line="320" w:lineRule="exact"/>
              <w:ind w:firstLine="420" w:firstLineChars="200"/>
              <w:rPr>
                <w:rFonts w:ascii="宋体" w:hAnsi="宋体"/>
                <w:color w:val="auto"/>
                <w:szCs w:val="21"/>
              </w:rPr>
            </w:pPr>
            <w:r>
              <w:rPr>
                <w:rFonts w:hint="eastAsia" w:ascii="宋体" w:hAnsi="宋体"/>
                <w:color w:val="auto"/>
                <w:szCs w:val="21"/>
              </w:rPr>
              <w:t>a．投标函按招标文件规定填报了招标人名称、项目名称、补遗书编号（如有）、投标价（包括大写金额和小写金额）；</w:t>
            </w:r>
          </w:p>
          <w:p>
            <w:pPr>
              <w:tabs>
                <w:tab w:val="left" w:pos="3060"/>
              </w:tabs>
              <w:spacing w:line="320" w:lineRule="exact"/>
              <w:ind w:firstLine="420" w:firstLineChars="200"/>
              <w:rPr>
                <w:rFonts w:hint="eastAsia" w:ascii="宋体" w:hAnsi="宋体" w:eastAsia="宋体"/>
                <w:color w:val="auto"/>
                <w:szCs w:val="21"/>
                <w:lang w:val="en-US" w:eastAsia="zh-CN"/>
              </w:rPr>
            </w:pPr>
            <w:r>
              <w:rPr>
                <w:rFonts w:hint="eastAsia" w:ascii="宋体" w:hAnsi="宋体"/>
                <w:color w:val="auto"/>
                <w:szCs w:val="21"/>
              </w:rPr>
              <w:t>b．已标价报价清单说明（如有）文字与招标文件规定一致，未进行实质性修改和删减；</w:t>
            </w:r>
            <w:r>
              <w:rPr>
                <w:rFonts w:hint="eastAsia"/>
                <w:color w:val="auto"/>
                <w:lang w:eastAsia="zh-CN"/>
              </w:rPr>
              <w:t>报价清单与报价函不一致的，按无效投标处理。</w:t>
            </w:r>
          </w:p>
          <w:p>
            <w:pPr>
              <w:tabs>
                <w:tab w:val="left" w:pos="3060"/>
              </w:tabs>
              <w:spacing w:line="320" w:lineRule="exact"/>
              <w:ind w:firstLine="420" w:firstLineChars="200"/>
              <w:rPr>
                <w:rFonts w:ascii="宋体" w:hAnsi="宋体"/>
                <w:color w:val="auto"/>
                <w:szCs w:val="21"/>
              </w:rPr>
            </w:pPr>
            <w:r>
              <w:rPr>
                <w:rFonts w:hint="eastAsia" w:ascii="宋体" w:hAnsi="宋体"/>
                <w:color w:val="auto"/>
                <w:szCs w:val="21"/>
              </w:rPr>
              <w:t>c．投标文件组成齐全完整，内容均按规定填写。</w:t>
            </w:r>
          </w:p>
          <w:p>
            <w:pPr>
              <w:tabs>
                <w:tab w:val="left" w:pos="3060"/>
              </w:tabs>
              <w:spacing w:line="320" w:lineRule="exact"/>
              <w:ind w:firstLine="205" w:firstLineChars="98"/>
              <w:rPr>
                <w:rFonts w:ascii="宋体" w:hAnsi="宋体"/>
                <w:bCs/>
                <w:color w:val="auto"/>
                <w:szCs w:val="21"/>
              </w:rPr>
            </w:pPr>
            <w:r>
              <w:rPr>
                <w:rFonts w:hint="eastAsia" w:ascii="宋体" w:hAnsi="宋体"/>
                <w:bCs/>
                <w:color w:val="auto"/>
                <w:szCs w:val="21"/>
              </w:rPr>
              <w:t>（2）投标文件上法定代表人或其授权代理人的签字、投标人的单位章盖章齐全，符合招标文件规定。</w:t>
            </w:r>
          </w:p>
          <w:p>
            <w:pPr>
              <w:tabs>
                <w:tab w:val="left" w:pos="3060"/>
              </w:tabs>
              <w:spacing w:line="320" w:lineRule="exact"/>
              <w:ind w:firstLine="105" w:firstLineChars="50"/>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）投标报价中的报价未超过招标文件设定的最高投标限价。</w:t>
            </w:r>
          </w:p>
          <w:p>
            <w:pPr>
              <w:tabs>
                <w:tab w:val="left" w:pos="3060"/>
              </w:tabs>
              <w:spacing w:line="320" w:lineRule="exact"/>
              <w:ind w:firstLine="105" w:firstLineChars="50"/>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）投标报价中报价的大写金额能够确定具体数值。</w:t>
            </w:r>
          </w:p>
          <w:p>
            <w:pPr>
              <w:tabs>
                <w:tab w:val="left" w:pos="3060"/>
              </w:tabs>
              <w:spacing w:line="320" w:lineRule="exact"/>
              <w:ind w:firstLine="105" w:firstLineChars="50"/>
              <w:rPr>
                <w:rFonts w:hint="eastAsia" w:ascii="宋体" w:hAnsi="宋体"/>
                <w:color w:val="auto"/>
                <w:szCs w:val="21"/>
              </w:rPr>
            </w:pPr>
            <w:r>
              <w:rPr>
                <w:rFonts w:hint="eastAsia" w:ascii="宋体" w:hAnsi="宋体"/>
                <w:color w:val="auto"/>
                <w:szCs w:val="21"/>
              </w:rPr>
              <w:t>（</w:t>
            </w:r>
            <w:r>
              <w:rPr>
                <w:rFonts w:ascii="宋体" w:hAnsi="宋体"/>
                <w:color w:val="auto"/>
                <w:szCs w:val="21"/>
              </w:rPr>
              <w:t>5</w:t>
            </w:r>
            <w:r>
              <w:rPr>
                <w:rFonts w:hint="eastAsia" w:ascii="宋体" w:hAnsi="宋体"/>
                <w:color w:val="auto"/>
                <w:szCs w:val="21"/>
              </w:rPr>
              <w:t>）同一投标人未提交两个以上不同的投标报价。</w:t>
            </w:r>
          </w:p>
          <w:p>
            <w:pPr>
              <w:pStyle w:val="2"/>
            </w:pPr>
            <w:r>
              <w:rPr>
                <w:rFonts w:hint="eastAsia" w:ascii="宋体" w:hAnsi="宋体" w:eastAsia="宋体" w:cs="Times New Roman"/>
                <w:bCs w:val="0"/>
                <w:color w:val="auto"/>
                <w:szCs w:val="21"/>
              </w:rPr>
              <w:t>（</w:t>
            </w:r>
            <w:r>
              <w:rPr>
                <w:rFonts w:hint="eastAsia" w:ascii="宋体" w:hAnsi="宋体" w:eastAsia="宋体" w:cs="Times New Roman"/>
                <w:bCs w:val="0"/>
                <w:color w:val="auto"/>
                <w:szCs w:val="21"/>
                <w:lang w:val="en-US" w:eastAsia="zh-CN"/>
              </w:rPr>
              <w:t>6</w:t>
            </w:r>
            <w:r>
              <w:rPr>
                <w:rFonts w:hint="eastAsia" w:ascii="宋体" w:hAnsi="宋体" w:eastAsia="宋体" w:cs="Times New Roman"/>
                <w:bCs w:val="0"/>
                <w:color w:val="auto"/>
                <w:szCs w:val="21"/>
              </w:rPr>
              <w:t>）</w:t>
            </w:r>
            <w:r>
              <w:rPr>
                <w:rFonts w:hint="eastAsia" w:ascii="宋体" w:hAnsi="宋体" w:cs="Times New Roman"/>
                <w:color w:val="auto"/>
                <w:szCs w:val="21"/>
                <w:lang w:val="en-US" w:eastAsia="zh-CN"/>
              </w:rPr>
              <w:t>费用</w:t>
            </w:r>
            <w:r>
              <w:rPr>
                <w:rFonts w:hint="eastAsia" w:ascii="宋体" w:hAnsi="宋体" w:eastAsia="宋体" w:cs="Times New Roman"/>
                <w:color w:val="auto"/>
                <w:szCs w:val="21"/>
              </w:rPr>
              <w:t>清单中的投标报价和投标函大写金额报价一致</w:t>
            </w:r>
            <w:r>
              <w:rPr>
                <w:rFonts w:hint="eastAsia" w:ascii="宋体" w:hAnsi="宋体" w:eastAsia="宋体" w:cs="Times New Roman"/>
                <w:bCs w:val="0"/>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Pr>
        <w:tc>
          <w:tcPr>
            <w:tcW w:w="817" w:type="dxa"/>
            <w:vAlign w:val="center"/>
          </w:tcPr>
          <w:p>
            <w:pPr>
              <w:jc w:val="center"/>
              <w:rPr>
                <w:rFonts w:ascii="宋体" w:hAnsi="宋体"/>
                <w:color w:val="auto"/>
              </w:rPr>
            </w:pPr>
            <w:r>
              <w:rPr>
                <w:rFonts w:ascii="宋体" w:hAnsi="宋体"/>
                <w:color w:val="auto"/>
              </w:rPr>
              <w:t>2.1.2</w:t>
            </w:r>
          </w:p>
        </w:tc>
        <w:tc>
          <w:tcPr>
            <w:tcW w:w="1134" w:type="dxa"/>
            <w:vAlign w:val="center"/>
          </w:tcPr>
          <w:p>
            <w:pPr>
              <w:jc w:val="center"/>
              <w:rPr>
                <w:rFonts w:ascii="宋体" w:hAnsi="宋体"/>
                <w:color w:val="auto"/>
              </w:rPr>
            </w:pPr>
            <w:r>
              <w:rPr>
                <w:rFonts w:hint="eastAsia" w:ascii="宋体" w:hAnsi="宋体"/>
                <w:color w:val="auto"/>
              </w:rPr>
              <w:t>资格评审标准</w:t>
            </w:r>
          </w:p>
        </w:tc>
        <w:tc>
          <w:tcPr>
            <w:tcW w:w="7648" w:type="dxa"/>
            <w:gridSpan w:val="2"/>
          </w:tcPr>
          <w:p>
            <w:pPr>
              <w:tabs>
                <w:tab w:val="left" w:pos="3060"/>
              </w:tabs>
              <w:spacing w:line="320" w:lineRule="exact"/>
              <w:ind w:firstLine="105" w:firstLineChars="50"/>
              <w:rPr>
                <w:rFonts w:ascii="宋体" w:hAnsi="宋体"/>
                <w:color w:val="auto"/>
                <w:szCs w:val="21"/>
              </w:rPr>
            </w:pPr>
            <w:r>
              <w:rPr>
                <w:rFonts w:hint="eastAsia" w:ascii="宋体" w:hAnsi="宋体"/>
                <w:color w:val="auto"/>
                <w:szCs w:val="21"/>
              </w:rPr>
              <w:t>（1）投标人具备有效的营业执照、组织机构代码证（三证合一</w:t>
            </w:r>
            <w:r>
              <w:rPr>
                <w:rFonts w:hint="eastAsia" w:ascii="宋体" w:hAnsi="宋体"/>
                <w:color w:val="auto"/>
                <w:szCs w:val="21"/>
                <w:lang w:val="en-US" w:eastAsia="zh-CN"/>
              </w:rPr>
              <w:t>或五证合一</w:t>
            </w:r>
            <w:r>
              <w:rPr>
                <w:rFonts w:hint="eastAsia" w:ascii="宋体" w:hAnsi="宋体"/>
                <w:color w:val="auto"/>
                <w:szCs w:val="21"/>
              </w:rPr>
              <w:t>的除外）、资质证书和基本账户开户许可证（或基本存款账户信息）；</w:t>
            </w:r>
          </w:p>
          <w:p>
            <w:pPr>
              <w:tabs>
                <w:tab w:val="left" w:pos="3060"/>
              </w:tabs>
              <w:spacing w:line="320" w:lineRule="exact"/>
              <w:ind w:firstLine="105" w:firstLineChars="50"/>
              <w:rPr>
                <w:rFonts w:ascii="宋体" w:hAnsi="宋体"/>
                <w:color w:val="auto"/>
                <w:szCs w:val="21"/>
              </w:rPr>
            </w:pPr>
            <w:r>
              <w:rPr>
                <w:rFonts w:hint="eastAsia" w:ascii="宋体" w:hAnsi="宋体"/>
                <w:color w:val="auto"/>
                <w:szCs w:val="21"/>
              </w:rPr>
              <w:t>（2）投标人的资质等级符合招标文件规定；</w:t>
            </w:r>
          </w:p>
          <w:p>
            <w:pPr>
              <w:tabs>
                <w:tab w:val="left" w:pos="3060"/>
              </w:tabs>
              <w:spacing w:line="320" w:lineRule="exact"/>
              <w:ind w:firstLine="105" w:firstLineChars="50"/>
              <w:rPr>
                <w:rFonts w:ascii="宋体" w:hAnsi="宋体"/>
                <w:color w:val="auto"/>
                <w:szCs w:val="21"/>
              </w:rPr>
            </w:pPr>
            <w:r>
              <w:rPr>
                <w:rFonts w:hint="eastAsia" w:ascii="宋体" w:hAnsi="宋体"/>
                <w:color w:val="auto"/>
                <w:szCs w:val="21"/>
              </w:rPr>
              <w:t>（3）投标人的类似项目业绩符合招标文件规定；</w:t>
            </w:r>
          </w:p>
          <w:p>
            <w:pPr>
              <w:tabs>
                <w:tab w:val="left" w:pos="3060"/>
              </w:tabs>
              <w:spacing w:line="320" w:lineRule="exact"/>
              <w:ind w:firstLine="105" w:firstLineChars="50"/>
              <w:rPr>
                <w:rFonts w:ascii="宋体" w:hAnsi="宋体"/>
                <w:color w:val="auto"/>
                <w:szCs w:val="21"/>
              </w:rPr>
            </w:pPr>
            <w:r>
              <w:rPr>
                <w:rFonts w:hint="eastAsia" w:ascii="宋体" w:hAnsi="宋体"/>
                <w:color w:val="auto"/>
                <w:szCs w:val="21"/>
              </w:rPr>
              <w:t>（4）投标人的信誉符合招标文件规定；</w:t>
            </w:r>
          </w:p>
          <w:p>
            <w:pPr>
              <w:tabs>
                <w:tab w:val="left" w:pos="3060"/>
              </w:tabs>
              <w:spacing w:line="320" w:lineRule="exact"/>
              <w:ind w:firstLine="105" w:firstLineChars="50"/>
              <w:rPr>
                <w:rFonts w:ascii="宋体" w:hAnsi="宋体"/>
                <w:color w:val="auto"/>
                <w:szCs w:val="21"/>
              </w:rPr>
            </w:pPr>
            <w:r>
              <w:rPr>
                <w:rFonts w:hint="eastAsia" w:ascii="宋体" w:hAnsi="宋体"/>
                <w:color w:val="auto"/>
                <w:szCs w:val="21"/>
              </w:rPr>
              <w:t xml:space="preserve">（5）投标人的项目负责人资格符合招标文件规定； </w:t>
            </w:r>
          </w:p>
          <w:p>
            <w:pPr>
              <w:tabs>
                <w:tab w:val="left" w:pos="3060"/>
              </w:tabs>
              <w:spacing w:line="320" w:lineRule="exact"/>
              <w:ind w:firstLine="105" w:firstLineChars="50"/>
              <w:rPr>
                <w:rFonts w:ascii="宋体" w:hAnsi="宋体"/>
                <w:color w:val="auto"/>
                <w:szCs w:val="21"/>
              </w:rPr>
            </w:pPr>
            <w:r>
              <w:rPr>
                <w:rFonts w:hint="eastAsia" w:ascii="宋体" w:hAnsi="宋体"/>
                <w:color w:val="auto"/>
                <w:szCs w:val="21"/>
              </w:rPr>
              <w:t>（6）投标人不存在第二章“投标人须知”第1.4.3项或第1.4.4项规定的任何一种情形。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Pr>
        <w:tc>
          <w:tcPr>
            <w:tcW w:w="817" w:type="dxa"/>
            <w:vAlign w:val="center"/>
          </w:tcPr>
          <w:p>
            <w:pPr>
              <w:jc w:val="center"/>
              <w:rPr>
                <w:rFonts w:ascii="宋体" w:hAnsi="宋体"/>
                <w:color w:val="auto"/>
              </w:rPr>
            </w:pPr>
            <w:r>
              <w:rPr>
                <w:rFonts w:ascii="宋体" w:hAnsi="宋体"/>
                <w:color w:val="auto"/>
              </w:rPr>
              <w:t>2.2.1</w:t>
            </w:r>
          </w:p>
        </w:tc>
        <w:tc>
          <w:tcPr>
            <w:tcW w:w="1134" w:type="dxa"/>
            <w:vAlign w:val="center"/>
          </w:tcPr>
          <w:p>
            <w:pPr>
              <w:jc w:val="center"/>
              <w:rPr>
                <w:rFonts w:ascii="宋体" w:hAnsi="宋体"/>
                <w:color w:val="auto"/>
              </w:rPr>
            </w:pPr>
            <w:r>
              <w:rPr>
                <w:rFonts w:hint="eastAsia" w:ascii="宋体" w:hAnsi="宋体"/>
                <w:color w:val="auto"/>
              </w:rPr>
              <w:t>分值构成（总分100分）</w:t>
            </w:r>
          </w:p>
        </w:tc>
        <w:tc>
          <w:tcPr>
            <w:tcW w:w="7648" w:type="dxa"/>
            <w:gridSpan w:val="2"/>
            <w:vAlign w:val="center"/>
          </w:tcPr>
          <w:p>
            <w:pPr>
              <w:jc w:val="left"/>
              <w:rPr>
                <w:rFonts w:ascii="宋体" w:hAnsi="宋体"/>
                <w:b/>
                <w:color w:val="auto"/>
              </w:rPr>
            </w:pPr>
            <w:r>
              <w:rPr>
                <w:rFonts w:hint="eastAsia" w:ascii="宋体" w:hAnsi="宋体"/>
                <w:b/>
                <w:color w:val="auto"/>
              </w:rPr>
              <w:t>第一个信封（商务及技术文件）评分分值构成：</w:t>
            </w:r>
          </w:p>
          <w:p>
            <w:pPr>
              <w:jc w:val="left"/>
              <w:rPr>
                <w:rFonts w:ascii="宋体" w:hAnsi="宋体"/>
                <w:b/>
                <w:color w:val="auto"/>
              </w:rPr>
            </w:pPr>
            <w:r>
              <w:rPr>
                <w:rFonts w:hint="eastAsia" w:ascii="宋体" w:hAnsi="宋体"/>
                <w:b/>
                <w:color w:val="auto"/>
              </w:rPr>
              <w:t>技术建议书：</w:t>
            </w:r>
            <w:r>
              <w:rPr>
                <w:rFonts w:hint="eastAsia" w:ascii="宋体" w:hAnsi="宋体"/>
                <w:b/>
                <w:color w:val="auto"/>
                <w:u w:val="single"/>
              </w:rPr>
              <w:t>45</w:t>
            </w:r>
            <w:r>
              <w:rPr>
                <w:rFonts w:hint="eastAsia" w:ascii="宋体" w:hAnsi="宋体"/>
                <w:b/>
                <w:color w:val="auto"/>
              </w:rPr>
              <w:t>分</w:t>
            </w:r>
          </w:p>
          <w:p>
            <w:pPr>
              <w:jc w:val="left"/>
              <w:rPr>
                <w:rFonts w:ascii="宋体" w:hAnsi="宋体"/>
                <w:b/>
                <w:color w:val="auto"/>
              </w:rPr>
            </w:pPr>
            <w:r>
              <w:rPr>
                <w:rFonts w:hint="eastAsia" w:ascii="宋体" w:hAnsi="宋体"/>
                <w:b/>
                <w:color w:val="auto"/>
              </w:rPr>
              <w:t>主要人员：</w:t>
            </w:r>
            <w:r>
              <w:rPr>
                <w:rFonts w:ascii="宋体" w:hAnsi="宋体"/>
                <w:b/>
                <w:color w:val="auto"/>
                <w:u w:val="single"/>
              </w:rPr>
              <w:t>20</w:t>
            </w:r>
            <w:r>
              <w:rPr>
                <w:rFonts w:hint="eastAsia" w:ascii="宋体" w:hAnsi="宋体"/>
                <w:b/>
                <w:color w:val="auto"/>
              </w:rPr>
              <w:t>分</w:t>
            </w:r>
          </w:p>
          <w:p>
            <w:pPr>
              <w:jc w:val="left"/>
              <w:rPr>
                <w:rFonts w:ascii="宋体" w:hAnsi="宋体"/>
                <w:b/>
                <w:color w:val="auto"/>
              </w:rPr>
            </w:pPr>
            <w:r>
              <w:rPr>
                <w:rFonts w:hint="eastAsia" w:ascii="宋体" w:hAnsi="宋体"/>
                <w:b/>
                <w:color w:val="auto"/>
              </w:rPr>
              <w:t>其他因素：</w:t>
            </w:r>
            <w:r>
              <w:rPr>
                <w:rFonts w:hint="eastAsia" w:ascii="宋体" w:hAnsi="宋体"/>
                <w:b/>
                <w:color w:val="auto"/>
                <w:u w:val="single"/>
              </w:rPr>
              <w:t>2</w:t>
            </w:r>
            <w:r>
              <w:rPr>
                <w:rFonts w:ascii="宋体" w:hAnsi="宋体"/>
                <w:b/>
                <w:color w:val="auto"/>
                <w:u w:val="single"/>
              </w:rPr>
              <w:t>5</w:t>
            </w:r>
            <w:r>
              <w:rPr>
                <w:rFonts w:hint="eastAsia" w:ascii="宋体" w:hAnsi="宋体"/>
                <w:b/>
                <w:color w:val="auto"/>
              </w:rPr>
              <w:t>分</w:t>
            </w:r>
          </w:p>
          <w:p>
            <w:pPr>
              <w:jc w:val="left"/>
              <w:rPr>
                <w:rFonts w:ascii="宋体" w:hAnsi="宋体"/>
                <w:b/>
                <w:color w:val="auto"/>
              </w:rPr>
            </w:pPr>
          </w:p>
          <w:p>
            <w:pPr>
              <w:jc w:val="left"/>
              <w:rPr>
                <w:rFonts w:ascii="宋体" w:hAnsi="宋体"/>
                <w:b/>
                <w:color w:val="auto"/>
              </w:rPr>
            </w:pPr>
            <w:r>
              <w:rPr>
                <w:rFonts w:hint="eastAsia" w:ascii="宋体" w:hAnsi="宋体"/>
                <w:b/>
                <w:color w:val="auto"/>
              </w:rPr>
              <w:t>第二个信封（报价文件）评分分值构成：</w:t>
            </w:r>
          </w:p>
          <w:p>
            <w:pPr>
              <w:jc w:val="left"/>
              <w:rPr>
                <w:rFonts w:ascii="宋体" w:hAnsi="宋体"/>
                <w:b/>
                <w:color w:val="auto"/>
              </w:rPr>
            </w:pPr>
            <w:r>
              <w:rPr>
                <w:rFonts w:hint="eastAsia" w:ascii="宋体" w:hAnsi="宋体"/>
                <w:b/>
                <w:color w:val="auto"/>
              </w:rPr>
              <w:t>评标价：</w:t>
            </w:r>
            <w:r>
              <w:rPr>
                <w:rFonts w:hint="eastAsia" w:ascii="宋体" w:hAnsi="宋体"/>
                <w:b/>
                <w:color w:val="auto"/>
                <w:u w:val="single"/>
              </w:rPr>
              <w:t>1</w:t>
            </w:r>
            <w:r>
              <w:rPr>
                <w:rFonts w:ascii="宋体" w:hAnsi="宋体"/>
                <w:b/>
                <w:color w:val="auto"/>
                <w:u w:val="single"/>
              </w:rPr>
              <w:t>0</w:t>
            </w:r>
            <w:r>
              <w:rPr>
                <w:rFonts w:hint="eastAsia" w:ascii="宋体" w:hAnsi="宋体"/>
                <w:b/>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Pr>
        <w:tc>
          <w:tcPr>
            <w:tcW w:w="817" w:type="dxa"/>
            <w:vAlign w:val="center"/>
          </w:tcPr>
          <w:p>
            <w:pPr>
              <w:jc w:val="center"/>
              <w:rPr>
                <w:rFonts w:ascii="宋体" w:hAnsi="宋体"/>
                <w:color w:val="auto"/>
              </w:rPr>
            </w:pPr>
            <w:r>
              <w:rPr>
                <w:rFonts w:ascii="宋体" w:hAnsi="宋体"/>
                <w:color w:val="auto"/>
              </w:rPr>
              <w:t>2.2.2</w:t>
            </w:r>
          </w:p>
        </w:tc>
        <w:tc>
          <w:tcPr>
            <w:tcW w:w="1134" w:type="dxa"/>
            <w:vAlign w:val="center"/>
          </w:tcPr>
          <w:p>
            <w:pPr>
              <w:jc w:val="center"/>
              <w:rPr>
                <w:rFonts w:ascii="宋体" w:hAnsi="宋体"/>
                <w:color w:val="auto"/>
              </w:rPr>
            </w:pPr>
            <w:r>
              <w:rPr>
                <w:rFonts w:hint="eastAsia" w:ascii="宋体" w:hAnsi="宋体"/>
                <w:color w:val="auto"/>
              </w:rPr>
              <w:t>评标基准价计算方法</w:t>
            </w:r>
          </w:p>
        </w:tc>
        <w:tc>
          <w:tcPr>
            <w:tcW w:w="7648" w:type="dxa"/>
            <w:gridSpan w:val="2"/>
            <w:vAlign w:val="center"/>
          </w:tcPr>
          <w:p>
            <w:pPr>
              <w:snapToGrid w:val="0"/>
              <w:spacing w:line="320" w:lineRule="exact"/>
              <w:jc w:val="left"/>
              <w:rPr>
                <w:rFonts w:ascii="宋体" w:hAnsi="宋体"/>
                <w:b/>
                <w:color w:val="auto"/>
              </w:rPr>
            </w:pPr>
            <w:r>
              <w:rPr>
                <w:rFonts w:hint="eastAsia" w:ascii="宋体" w:hAnsi="宋体"/>
                <w:b/>
                <w:color w:val="auto"/>
              </w:rPr>
              <w:t>评标基准价的计算：</w:t>
            </w:r>
          </w:p>
          <w:p>
            <w:pPr>
              <w:snapToGrid w:val="0"/>
              <w:spacing w:line="320" w:lineRule="exact"/>
              <w:ind w:right="113"/>
              <w:rPr>
                <w:rFonts w:ascii="宋体" w:hAnsi="宋体"/>
                <w:color w:val="auto"/>
                <w:szCs w:val="21"/>
              </w:rPr>
            </w:pPr>
            <w:r>
              <w:rPr>
                <w:rFonts w:hint="eastAsia" w:ascii="宋体" w:hAnsi="宋体"/>
                <w:color w:val="auto"/>
                <w:szCs w:val="21"/>
              </w:rPr>
              <w:t>在开标现场，招标人将当场计算并宣布评标基准价。</w:t>
            </w:r>
          </w:p>
          <w:p>
            <w:pPr>
              <w:snapToGrid w:val="0"/>
              <w:spacing w:line="320" w:lineRule="exact"/>
              <w:ind w:left="113" w:right="113" w:firstLine="210" w:firstLineChars="100"/>
              <w:rPr>
                <w:rFonts w:ascii="宋体" w:hAnsi="宋体"/>
                <w:color w:val="auto"/>
                <w:szCs w:val="21"/>
              </w:rPr>
            </w:pPr>
            <w:r>
              <w:rPr>
                <w:rFonts w:hint="eastAsia" w:ascii="宋体" w:hAnsi="宋体"/>
                <w:color w:val="auto"/>
                <w:szCs w:val="21"/>
              </w:rPr>
              <w:t>（1）评标价的确定：</w:t>
            </w:r>
          </w:p>
          <w:p>
            <w:pPr>
              <w:snapToGrid w:val="0"/>
              <w:spacing w:line="320" w:lineRule="exact"/>
              <w:ind w:left="113" w:right="113" w:firstLine="210" w:firstLineChars="100"/>
              <w:rPr>
                <w:rFonts w:ascii="宋体" w:hAnsi="宋体"/>
                <w:color w:val="auto"/>
                <w:szCs w:val="21"/>
              </w:rPr>
            </w:pPr>
            <w:r>
              <w:rPr>
                <w:rFonts w:hint="eastAsia" w:ascii="宋体" w:hAnsi="宋体"/>
                <w:color w:val="auto"/>
                <w:szCs w:val="21"/>
              </w:rPr>
              <w:t>评标价=投标函文字报价</w:t>
            </w:r>
          </w:p>
          <w:p>
            <w:pPr>
              <w:snapToGrid w:val="0"/>
              <w:spacing w:line="320" w:lineRule="exact"/>
              <w:ind w:left="113" w:right="113" w:firstLine="210" w:firstLineChars="100"/>
              <w:rPr>
                <w:rFonts w:ascii="宋体" w:hAnsi="宋体"/>
                <w:color w:val="auto"/>
                <w:szCs w:val="21"/>
              </w:rPr>
            </w:pPr>
            <w:r>
              <w:rPr>
                <w:rFonts w:hint="eastAsia" w:ascii="宋体" w:hAnsi="宋体"/>
                <w:color w:val="auto"/>
                <w:szCs w:val="21"/>
              </w:rPr>
              <w:t>（2）评标价平均值的计算：</w:t>
            </w:r>
          </w:p>
          <w:p>
            <w:pPr>
              <w:snapToGrid w:val="0"/>
              <w:spacing w:line="320" w:lineRule="exact"/>
              <w:ind w:right="113" w:firstLine="426" w:firstLineChars="203"/>
              <w:rPr>
                <w:rFonts w:ascii="宋体" w:hAnsi="宋体"/>
                <w:color w:val="auto"/>
                <w:szCs w:val="21"/>
              </w:rPr>
            </w:pPr>
            <w:r>
              <w:rPr>
                <w:rFonts w:hint="eastAsia" w:ascii="宋体" w:hAnsi="宋体"/>
                <w:color w:val="auto"/>
                <w:szCs w:val="21"/>
              </w:rPr>
              <w:t>按第一信封（商务及技术文件）评审得分由高到低的顺序选取前三名（若不足三名，则选取相应数量），对其第二个信封 (报价文件）的评标价作算术平均（根据第二章“投标人须知”第5.2.4 项规定在开标现场被宣布为不进入评标基准价计算的投标报价除外），将该平均值作为评标价平均值。</w:t>
            </w:r>
          </w:p>
          <w:p>
            <w:pPr>
              <w:snapToGrid w:val="0"/>
              <w:spacing w:line="320" w:lineRule="exact"/>
              <w:ind w:right="113" w:firstLine="426" w:firstLineChars="203"/>
              <w:rPr>
                <w:rFonts w:ascii="宋体" w:hAnsi="宋体"/>
                <w:color w:val="auto"/>
                <w:szCs w:val="21"/>
              </w:rPr>
            </w:pPr>
            <w:r>
              <w:rPr>
                <w:rFonts w:hint="eastAsia" w:ascii="宋体" w:hAnsi="宋体"/>
                <w:color w:val="auto"/>
                <w:szCs w:val="21"/>
              </w:rPr>
              <w:t>（3）评标基准价的确定：</w:t>
            </w:r>
          </w:p>
          <w:p>
            <w:pPr>
              <w:snapToGrid w:val="0"/>
              <w:spacing w:line="320" w:lineRule="exact"/>
              <w:ind w:right="113" w:firstLine="426" w:firstLineChars="203"/>
              <w:rPr>
                <w:rFonts w:ascii="宋体" w:hAnsi="宋体"/>
                <w:color w:val="auto"/>
                <w:szCs w:val="21"/>
              </w:rPr>
            </w:pPr>
            <w:r>
              <w:rPr>
                <w:rFonts w:hint="eastAsia" w:ascii="宋体" w:hAnsi="宋体"/>
                <w:color w:val="auto"/>
                <w:szCs w:val="21"/>
              </w:rPr>
              <w:t>将评标价平均值直接作为评标基准价（评标基准价保留小数点后两位，小数点后第三位四舍五入）。</w:t>
            </w:r>
          </w:p>
          <w:p>
            <w:pPr>
              <w:snapToGrid w:val="0"/>
              <w:spacing w:line="320" w:lineRule="exact"/>
              <w:ind w:firstLine="420" w:firstLineChars="200"/>
              <w:jc w:val="left"/>
              <w:rPr>
                <w:rFonts w:ascii="宋体" w:hAnsi="宋体"/>
                <w:color w:val="auto"/>
              </w:rPr>
            </w:pPr>
            <w:r>
              <w:rPr>
                <w:rFonts w:hint="eastAsia" w:ascii="宋体" w:hAnsi="宋体"/>
                <w:color w:val="auto"/>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Pr>
        <w:tc>
          <w:tcPr>
            <w:tcW w:w="817" w:type="dxa"/>
            <w:vAlign w:val="center"/>
          </w:tcPr>
          <w:p>
            <w:pPr>
              <w:jc w:val="center"/>
              <w:rPr>
                <w:rFonts w:ascii="宋体" w:hAnsi="宋体"/>
                <w:color w:val="auto"/>
              </w:rPr>
            </w:pPr>
            <w:r>
              <w:rPr>
                <w:rFonts w:ascii="宋体" w:hAnsi="宋体"/>
                <w:color w:val="auto"/>
              </w:rPr>
              <w:t>2.2.3</w:t>
            </w:r>
          </w:p>
        </w:tc>
        <w:tc>
          <w:tcPr>
            <w:tcW w:w="1134" w:type="dxa"/>
            <w:vAlign w:val="center"/>
          </w:tcPr>
          <w:p>
            <w:pPr>
              <w:jc w:val="center"/>
              <w:rPr>
                <w:rFonts w:ascii="宋体" w:hAnsi="宋体"/>
                <w:color w:val="auto"/>
              </w:rPr>
            </w:pPr>
            <w:r>
              <w:rPr>
                <w:rFonts w:hint="eastAsia" w:ascii="宋体" w:hAnsi="宋体"/>
                <w:color w:val="auto"/>
              </w:rPr>
              <w:t>评标价的偏差率计算公式</w:t>
            </w:r>
          </w:p>
        </w:tc>
        <w:tc>
          <w:tcPr>
            <w:tcW w:w="7648" w:type="dxa"/>
            <w:gridSpan w:val="2"/>
            <w:vAlign w:val="center"/>
          </w:tcPr>
          <w:p>
            <w:pPr>
              <w:jc w:val="left"/>
              <w:rPr>
                <w:rFonts w:ascii="宋体" w:hAnsi="宋体"/>
                <w:color w:val="auto"/>
              </w:rPr>
            </w:pPr>
            <w:r>
              <w:rPr>
                <w:rFonts w:hint="eastAsia" w:ascii="宋体" w:hAnsi="宋体"/>
                <w:color w:val="auto"/>
              </w:rPr>
              <w:t>偏差率=100%×（投标人评标价-评标基准价）／评标基准价</w:t>
            </w:r>
          </w:p>
          <w:p>
            <w:pPr>
              <w:jc w:val="left"/>
              <w:rPr>
                <w:rFonts w:ascii="宋体" w:hAnsi="宋体"/>
                <w:color w:val="auto"/>
              </w:rPr>
            </w:pPr>
            <w:r>
              <w:rPr>
                <w:rFonts w:hint="eastAsia" w:ascii="宋体" w:hAnsi="宋体"/>
                <w:color w:val="auto"/>
              </w:rPr>
              <w:t>偏差率保留两位小数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Pr>
        <w:tc>
          <w:tcPr>
            <w:tcW w:w="817" w:type="dxa"/>
            <w:vAlign w:val="center"/>
          </w:tcPr>
          <w:p>
            <w:pPr>
              <w:jc w:val="center"/>
              <w:rPr>
                <w:rFonts w:ascii="宋体" w:hAnsi="宋体"/>
                <w:color w:val="auto"/>
                <w:szCs w:val="21"/>
              </w:rPr>
            </w:pPr>
            <w:r>
              <w:rPr>
                <w:rFonts w:hint="eastAsia" w:ascii="宋体" w:hAnsi="宋体"/>
                <w:color w:val="auto"/>
              </w:rPr>
              <w:t>3</w:t>
            </w:r>
            <w:r>
              <w:rPr>
                <w:rFonts w:ascii="宋体" w:hAnsi="宋体"/>
                <w:color w:val="auto"/>
              </w:rPr>
              <w:t>.6.1</w:t>
            </w:r>
          </w:p>
        </w:tc>
        <w:tc>
          <w:tcPr>
            <w:tcW w:w="1134" w:type="dxa"/>
            <w:vAlign w:val="center"/>
          </w:tcPr>
          <w:p>
            <w:pPr>
              <w:adjustRightInd w:val="0"/>
              <w:snapToGrid w:val="0"/>
              <w:spacing w:line="300" w:lineRule="exact"/>
              <w:jc w:val="center"/>
              <w:rPr>
                <w:rFonts w:ascii="宋体" w:hAnsi="宋体"/>
                <w:color w:val="auto"/>
              </w:rPr>
            </w:pPr>
            <w:r>
              <w:rPr>
                <w:rFonts w:hint="eastAsia" w:ascii="宋体" w:hAnsi="宋体"/>
                <w:color w:val="auto"/>
              </w:rPr>
              <w:t>信息查询</w:t>
            </w:r>
          </w:p>
        </w:tc>
        <w:tc>
          <w:tcPr>
            <w:tcW w:w="7648" w:type="dxa"/>
            <w:gridSpan w:val="2"/>
            <w:vAlign w:val="center"/>
          </w:tcPr>
          <w:p>
            <w:pPr>
              <w:autoSpaceDE w:val="0"/>
              <w:autoSpaceDN w:val="0"/>
              <w:spacing w:line="273" w:lineRule="auto"/>
              <w:rPr>
                <w:rFonts w:ascii="宋体" w:hAnsi="宋体"/>
                <w:color w:val="auto"/>
              </w:rPr>
            </w:pPr>
            <w:r>
              <w:rPr>
                <w:rFonts w:hint="eastAsia" w:ascii="宋体" w:hAnsi="宋体"/>
                <w:color w:val="auto"/>
              </w:rPr>
              <w:t>本款修改为：</w:t>
            </w:r>
          </w:p>
          <w:p>
            <w:pPr>
              <w:autoSpaceDE w:val="0"/>
              <w:autoSpaceDN w:val="0"/>
              <w:spacing w:line="273" w:lineRule="auto"/>
              <w:ind w:firstLine="420" w:firstLineChars="200"/>
              <w:rPr>
                <w:rFonts w:hint="eastAsia" w:ascii="宋体" w:hAnsi="宋体"/>
                <w:color w:val="auto"/>
                <w:kern w:val="2"/>
                <w:szCs w:val="22"/>
              </w:rPr>
            </w:pPr>
            <w:r>
              <w:rPr>
                <w:rFonts w:hint="eastAsia" w:ascii="宋体" w:hAnsi="宋体"/>
                <w:color w:val="auto"/>
                <w:kern w:val="2"/>
                <w:szCs w:val="22"/>
                <w:lang w:val="en-US" w:eastAsia="zh-CN"/>
              </w:rPr>
              <w:t>(1)</w:t>
            </w:r>
            <w:r>
              <w:rPr>
                <w:rFonts w:hint="eastAsia" w:ascii="宋体" w:hAnsi="宋体"/>
                <w:color w:val="auto"/>
                <w:kern w:val="2"/>
                <w:szCs w:val="22"/>
              </w:rPr>
              <w:t xml:space="preserve">投标人名称和资质与“全国公路水运工程质量试验检测管理信息系统（https://www.ttiis.cn）”的复核结果一致； </w:t>
            </w:r>
          </w:p>
          <w:p>
            <w:pPr>
              <w:autoSpaceDE w:val="0"/>
              <w:autoSpaceDN w:val="0"/>
              <w:spacing w:line="273" w:lineRule="auto"/>
              <w:ind w:firstLine="420" w:firstLineChars="200"/>
              <w:rPr>
                <w:rFonts w:hint="eastAsia" w:ascii="宋体" w:hAnsi="宋体"/>
                <w:color w:val="auto"/>
              </w:rPr>
            </w:pPr>
            <w:r>
              <w:rPr>
                <w:rFonts w:hint="eastAsia" w:ascii="宋体" w:hAnsi="宋体"/>
                <w:color w:val="auto"/>
              </w:rPr>
              <w:t>如投标人未提供相关网页截图或相关网页截图中的信息无法证实投标人满足招标文件规定的资格审查条件（资质最低要求）或网页截图与</w:t>
            </w:r>
            <w:r>
              <w:rPr>
                <w:rFonts w:hint="eastAsia" w:ascii="宋体" w:hAnsi="宋体"/>
                <w:color w:val="auto"/>
                <w:kern w:val="2"/>
                <w:szCs w:val="22"/>
              </w:rPr>
              <w:t>“全国公路水运工程质量试验检测管理信息系统（https://www.ttiis.cn）”</w:t>
            </w:r>
            <w:r>
              <w:rPr>
                <w:rFonts w:hint="eastAsia" w:ascii="宋体" w:hAnsi="宋体"/>
                <w:color w:val="auto"/>
              </w:rPr>
              <w:t>的核查结果不一致，则相关资质不予认定。</w:t>
            </w:r>
          </w:p>
          <w:p>
            <w:pPr>
              <w:autoSpaceDE w:val="0"/>
              <w:autoSpaceDN w:val="0"/>
              <w:spacing w:line="273" w:lineRule="auto"/>
              <w:ind w:firstLine="420" w:firstLineChars="200"/>
              <w:rPr>
                <w:rFonts w:hint="eastAsia" w:ascii="宋体" w:hAnsi="宋体"/>
                <w:color w:val="auto"/>
              </w:rPr>
            </w:pPr>
            <w:r>
              <w:rPr>
                <w:rFonts w:hint="eastAsia" w:ascii="宋体" w:hAnsi="宋体"/>
                <w:color w:val="auto"/>
                <w:lang w:val="en-US" w:eastAsia="zh-CN"/>
              </w:rPr>
              <w:t>(2)</w:t>
            </w:r>
            <w:r>
              <w:rPr>
                <w:rFonts w:hint="eastAsia" w:ascii="宋体" w:hAnsi="宋体"/>
                <w:color w:val="auto"/>
              </w:rPr>
              <w:t>所附项目负责人的</w:t>
            </w:r>
            <w:r>
              <w:rPr>
                <w:rFonts w:hint="eastAsia" w:ascii="宋体" w:hAnsi="宋体"/>
                <w:color w:val="auto"/>
                <w:lang w:eastAsia="zh-CN"/>
              </w:rPr>
              <w:t>职称证书、资格证书信息的</w:t>
            </w:r>
            <w:r>
              <w:rPr>
                <w:rFonts w:hint="eastAsia" w:ascii="宋体" w:hAnsi="宋体"/>
                <w:color w:val="auto"/>
              </w:rPr>
              <w:t>网页截图复印件与</w:t>
            </w:r>
            <w:r>
              <w:rPr>
                <w:rFonts w:hint="eastAsia" w:ascii="宋体" w:hAnsi="宋体"/>
                <w:color w:val="auto"/>
                <w:kern w:val="2"/>
                <w:szCs w:val="22"/>
              </w:rPr>
              <w:t>“全国公路水运工程质量试验检测管理信息系统（https://www.ttiis.cn）”</w:t>
            </w:r>
            <w:r>
              <w:rPr>
                <w:rFonts w:hint="eastAsia" w:ascii="宋体" w:hAnsi="宋体"/>
                <w:color w:val="auto"/>
              </w:rPr>
              <w:t>核查的结果一致，并满足招标文件资格审查条件要求。</w:t>
            </w:r>
          </w:p>
          <w:p>
            <w:pPr>
              <w:autoSpaceDE w:val="0"/>
              <w:autoSpaceDN w:val="0"/>
              <w:spacing w:line="273" w:lineRule="auto"/>
              <w:ind w:firstLine="420" w:firstLineChars="200"/>
              <w:rPr>
                <w:rFonts w:hint="eastAsia" w:ascii="宋体" w:hAnsi="宋体" w:eastAsia="宋体"/>
                <w:color w:val="auto"/>
                <w:lang w:val="en-US" w:eastAsia="zh-CN"/>
              </w:rPr>
            </w:pPr>
            <w:r>
              <w:rPr>
                <w:rFonts w:hint="eastAsia" w:ascii="宋体" w:hAnsi="宋体"/>
                <w:color w:val="auto"/>
              </w:rPr>
              <w:t>如投标人未提供相关网页截图复印件或相关网页截图复印件中的信息无法证实投标人满足招标文件规定的资格审查条件（项目负责人最低要求），则该证书不予认定。</w:t>
            </w:r>
          </w:p>
          <w:p>
            <w:pPr>
              <w:autoSpaceDE w:val="0"/>
              <w:autoSpaceDN w:val="0"/>
              <w:spacing w:line="273" w:lineRule="auto"/>
              <w:ind w:firstLine="420" w:firstLineChars="200"/>
              <w:rPr>
                <w:rFonts w:hint="eastAsia" w:ascii="宋体" w:hAnsi="宋体"/>
                <w:color w:val="auto"/>
              </w:rPr>
            </w:pPr>
            <w:r>
              <w:rPr>
                <w:rFonts w:hint="eastAsia" w:ascii="宋体" w:hAnsi="宋体"/>
                <w:color w:val="auto"/>
                <w:lang w:val="en-US" w:eastAsia="zh-CN"/>
              </w:rPr>
              <w:t>(3)</w:t>
            </w:r>
            <w:r>
              <w:rPr>
                <w:rFonts w:hint="eastAsia" w:ascii="宋体" w:hAnsi="宋体"/>
                <w:color w:val="auto"/>
              </w:rPr>
              <w:t>评标委员会评标时应对投标人的信用情况在“国家企业信用信息公示系统”和“信用中国”网站对投标人的信用情况进行查询，若投标人存在“国家企业信用信息公示系统” 被列入严重违法失信企业名单（不含分公司</w:t>
            </w:r>
            <w:r>
              <w:rPr>
                <w:rFonts w:hint="eastAsia" w:ascii="宋体" w:hAnsi="宋体"/>
                <w:color w:val="auto"/>
                <w:lang w:eastAsia="zh-CN"/>
              </w:rPr>
              <w:t>，</w:t>
            </w:r>
            <w:r>
              <w:rPr>
                <w:rFonts w:hint="eastAsia" w:ascii="宋体" w:hAnsi="宋体"/>
                <w:color w:val="auto"/>
                <w:lang w:val="en-US" w:eastAsia="zh-CN"/>
              </w:rPr>
              <w:t>事业单位不适用</w:t>
            </w:r>
            <w:r>
              <w:rPr>
                <w:rFonts w:hint="eastAsia" w:ascii="宋体" w:hAnsi="宋体"/>
                <w:color w:val="auto"/>
              </w:rPr>
              <w:t>）或在“信用中国”网站“被列入失信被执行人名单、经营异常名录、重大税收违法失信主体名单、政府采购严重违法失信名单”情形的（均不含分公司），评标委员会应否决其投标。</w:t>
            </w:r>
          </w:p>
          <w:p>
            <w:pPr>
              <w:autoSpaceDE w:val="0"/>
              <w:autoSpaceDN w:val="0"/>
              <w:spacing w:line="273" w:lineRule="auto"/>
              <w:ind w:firstLine="420" w:firstLineChars="200"/>
              <w:rPr>
                <w:rFonts w:hint="eastAsia" w:ascii="宋体" w:hAnsi="宋体" w:eastAsia="宋体"/>
                <w:color w:val="auto"/>
                <w:highlight w:val="none"/>
                <w:lang w:eastAsia="zh-CN"/>
              </w:rPr>
            </w:pPr>
            <w:r>
              <w:rPr>
                <w:rFonts w:hint="eastAsia" w:ascii="宋体" w:hAnsi="宋体"/>
                <w:color w:val="auto"/>
                <w:highlight w:val="none"/>
                <w:lang w:val="en-US" w:eastAsia="zh-CN"/>
              </w:rPr>
              <w:t>(4)</w:t>
            </w:r>
            <w:r>
              <w:rPr>
                <w:rFonts w:hint="eastAsia" w:ascii="宋体" w:hAnsi="宋体"/>
                <w:color w:val="auto"/>
                <w:highlight w:val="none"/>
              </w:rPr>
              <w:t>评标委员会评标时应对投标人的</w:t>
            </w:r>
            <w:r>
              <w:rPr>
                <w:rFonts w:hint="eastAsia" w:ascii="宋体" w:hAnsi="宋体"/>
                <w:color w:val="auto"/>
                <w:highlight w:val="none"/>
                <w:lang w:eastAsia="zh-CN"/>
              </w:rPr>
              <w:t>提供的各类保证金电子担保材料进行核实，未能查询到并核实的，按无效投标处理。</w:t>
            </w:r>
          </w:p>
          <w:p>
            <w:pPr>
              <w:autoSpaceDE w:val="0"/>
              <w:autoSpaceDN w:val="0"/>
              <w:spacing w:line="273" w:lineRule="auto"/>
              <w:ind w:firstLine="420" w:firstLineChars="200"/>
              <w:rPr>
                <w:rFonts w:ascii="宋体" w:hAnsi="宋体"/>
                <w:color w:val="auto"/>
              </w:rPr>
            </w:pPr>
            <w:r>
              <w:rPr>
                <w:rFonts w:hint="eastAsia" w:ascii="宋体" w:hAnsi="宋体"/>
                <w:color w:val="auto"/>
                <w:highlight w:val="none"/>
                <w:lang w:val="en-US" w:eastAsia="zh-CN"/>
              </w:rPr>
              <w:t>(5)</w:t>
            </w:r>
            <w:r>
              <w:rPr>
                <w:rFonts w:hint="eastAsia" w:ascii="宋体" w:hAnsi="宋体"/>
                <w:color w:val="auto"/>
                <w:highlight w:val="none"/>
              </w:rPr>
              <w:t>投标人按招标文件要求提供了截图并更新政府网站公</w:t>
            </w:r>
            <w:r>
              <w:rPr>
                <w:rFonts w:hint="eastAsia" w:ascii="宋体" w:hAnsi="宋体"/>
                <w:color w:val="auto"/>
              </w:rPr>
              <w:t>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291" w:hRule="atLeast"/>
        </w:trPr>
        <w:tc>
          <w:tcPr>
            <w:tcW w:w="817" w:type="dxa"/>
            <w:vAlign w:val="center"/>
          </w:tcPr>
          <w:p>
            <w:pPr>
              <w:jc w:val="center"/>
              <w:rPr>
                <w:rFonts w:ascii="宋体" w:hAnsi="宋体"/>
                <w:color w:val="auto"/>
              </w:rPr>
            </w:pPr>
            <w:r>
              <w:rPr>
                <w:rFonts w:hint="eastAsia" w:ascii="宋体" w:hAnsi="宋体"/>
                <w:color w:val="auto"/>
              </w:rPr>
              <w:t>3.9.1</w:t>
            </w:r>
          </w:p>
        </w:tc>
        <w:tc>
          <w:tcPr>
            <w:tcW w:w="1134" w:type="dxa"/>
            <w:vAlign w:val="center"/>
          </w:tcPr>
          <w:p>
            <w:pPr>
              <w:ind w:left="-31" w:leftChars="-15" w:right="-77"/>
              <w:jc w:val="center"/>
              <w:rPr>
                <w:rFonts w:ascii="宋体" w:hAnsi="宋体"/>
                <w:color w:val="auto"/>
                <w:szCs w:val="21"/>
              </w:rPr>
            </w:pPr>
            <w:r>
              <w:rPr>
                <w:rFonts w:hint="eastAsia" w:ascii="宋体" w:hAnsi="宋体"/>
                <w:color w:val="auto"/>
                <w:szCs w:val="21"/>
              </w:rPr>
              <w:t>评标结果</w:t>
            </w:r>
          </w:p>
        </w:tc>
        <w:tc>
          <w:tcPr>
            <w:tcW w:w="7648" w:type="dxa"/>
            <w:gridSpan w:val="2"/>
            <w:vAlign w:val="center"/>
          </w:tcPr>
          <w:p>
            <w:pPr>
              <w:spacing w:line="340" w:lineRule="exact"/>
              <w:ind w:right="113" w:firstLine="426" w:firstLineChars="203"/>
              <w:rPr>
                <w:rFonts w:ascii="宋体" w:hAnsi="宋体"/>
                <w:color w:val="auto"/>
                <w:szCs w:val="21"/>
              </w:rPr>
            </w:pPr>
            <w:r>
              <w:rPr>
                <w:rFonts w:hint="eastAsia" w:ascii="宋体" w:hAnsi="宋体"/>
                <w:color w:val="auto"/>
                <w:szCs w:val="21"/>
              </w:rPr>
              <w:t>本款补充：</w:t>
            </w:r>
          </w:p>
          <w:p>
            <w:pPr>
              <w:spacing w:line="340" w:lineRule="exact"/>
              <w:ind w:right="113" w:firstLine="426" w:firstLineChars="203"/>
              <w:rPr>
                <w:rFonts w:ascii="宋体" w:hAnsi="宋体"/>
                <w:color w:val="auto"/>
                <w:szCs w:val="21"/>
              </w:rPr>
            </w:pPr>
            <w:r>
              <w:rPr>
                <w:rFonts w:hint="eastAsia" w:ascii="宋体" w:hAnsi="宋体"/>
                <w:bCs/>
                <w:color w:val="auto"/>
                <w:szCs w:val="21"/>
              </w:rPr>
              <w:t>通过第一信封商务文件和技术文件评审的投标人少于</w:t>
            </w:r>
            <w:r>
              <w:rPr>
                <w:rFonts w:ascii="宋体" w:hAnsi="宋体"/>
                <w:bCs/>
                <w:color w:val="auto"/>
                <w:szCs w:val="21"/>
              </w:rPr>
              <w:t>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w:t>
            </w:r>
            <w:r>
              <w:rPr>
                <w:rFonts w:hint="eastAsia" w:ascii="宋体" w:hAnsi="宋体"/>
                <w:bCs/>
                <w:color w:val="auto"/>
                <w:szCs w:val="21"/>
              </w:rPr>
              <w:t>按照评标办法前附表“1.评标办法”的规定</w:t>
            </w:r>
            <w:r>
              <w:rPr>
                <w:rFonts w:ascii="宋体" w:hAnsi="宋体"/>
                <w:bCs/>
                <w:color w:val="auto"/>
                <w:szCs w:val="21"/>
              </w:rPr>
              <w:t>推荐中标候选人。</w:t>
            </w:r>
          </w:p>
        </w:tc>
      </w:tr>
    </w:tbl>
    <w:p>
      <w:pPr>
        <w:rPr>
          <w:color w:val="auto"/>
        </w:rPr>
      </w:pPr>
    </w:p>
    <w:p>
      <w:pPr>
        <w:jc w:val="right"/>
        <w:rPr>
          <w:color w:val="auto"/>
        </w:rPr>
      </w:pPr>
      <w:r>
        <w:rPr>
          <w:color w:val="auto"/>
        </w:rPr>
        <w:br w:type="page"/>
      </w:r>
      <w:r>
        <w:rPr>
          <w:rFonts w:hint="eastAsia"/>
          <w:color w:val="auto"/>
        </w:rPr>
        <w:t>续上表</w:t>
      </w:r>
    </w:p>
    <w:tbl>
      <w:tblPr>
        <w:tblStyle w:val="7"/>
        <w:tblW w:w="9482" w:type="dxa"/>
        <w:tblInd w:w="-1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77"/>
        <w:gridCol w:w="516"/>
        <w:gridCol w:w="837"/>
        <w:gridCol w:w="1482"/>
        <w:gridCol w:w="850"/>
        <w:gridCol w:w="48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08" w:hRule="exact"/>
        </w:trPr>
        <w:tc>
          <w:tcPr>
            <w:tcW w:w="977" w:type="dxa"/>
            <w:vAlign w:val="center"/>
          </w:tcPr>
          <w:p>
            <w:pPr>
              <w:autoSpaceDE w:val="0"/>
              <w:autoSpaceDN w:val="0"/>
              <w:spacing w:line="440" w:lineRule="exact"/>
              <w:ind w:right="11"/>
              <w:jc w:val="center"/>
              <w:rPr>
                <w:rFonts w:ascii="宋体" w:hAnsi="宋体" w:cs="宋体"/>
                <w:b/>
                <w:color w:val="auto"/>
                <w:kern w:val="0"/>
                <w:szCs w:val="21"/>
              </w:rPr>
            </w:pPr>
            <w:r>
              <w:rPr>
                <w:rFonts w:hint="eastAsia" w:ascii="宋体" w:hAnsi="宋体" w:cs="宋体"/>
                <w:b/>
                <w:color w:val="auto"/>
                <w:kern w:val="0"/>
                <w:szCs w:val="21"/>
              </w:rPr>
              <w:t>条款号</w:t>
            </w:r>
          </w:p>
        </w:tc>
        <w:tc>
          <w:tcPr>
            <w:tcW w:w="3685" w:type="dxa"/>
            <w:gridSpan w:val="4"/>
            <w:tcBorders>
              <w:right w:val="single" w:color="auto" w:sz="4" w:space="0"/>
            </w:tcBorders>
            <w:vAlign w:val="center"/>
          </w:tcPr>
          <w:p>
            <w:pPr>
              <w:autoSpaceDE w:val="0"/>
              <w:autoSpaceDN w:val="0"/>
              <w:spacing w:line="440" w:lineRule="exact"/>
              <w:ind w:right="11"/>
              <w:jc w:val="center"/>
              <w:rPr>
                <w:rFonts w:ascii="宋体" w:hAnsi="宋体" w:cs="宋体"/>
                <w:b/>
                <w:color w:val="auto"/>
                <w:kern w:val="0"/>
                <w:szCs w:val="21"/>
              </w:rPr>
            </w:pPr>
            <w:r>
              <w:rPr>
                <w:rFonts w:hint="eastAsia" w:ascii="宋体" w:hAnsi="宋体" w:cs="宋体"/>
                <w:b/>
                <w:color w:val="auto"/>
                <w:kern w:val="0"/>
                <w:szCs w:val="21"/>
              </w:rPr>
              <w:t>评审因素与权重分值</w:t>
            </w:r>
          </w:p>
        </w:tc>
        <w:tc>
          <w:tcPr>
            <w:tcW w:w="4820" w:type="dxa"/>
            <w:vMerge w:val="restart"/>
            <w:tcBorders>
              <w:left w:val="single" w:color="auto" w:sz="4" w:space="0"/>
            </w:tcBorders>
            <w:vAlign w:val="center"/>
          </w:tcPr>
          <w:p>
            <w:pPr>
              <w:autoSpaceDE w:val="0"/>
              <w:autoSpaceDN w:val="0"/>
              <w:spacing w:line="440" w:lineRule="exact"/>
              <w:ind w:right="11"/>
              <w:jc w:val="center"/>
              <w:rPr>
                <w:rFonts w:ascii="宋体" w:hAnsi="宋体" w:cs="宋体"/>
                <w:b/>
                <w:color w:val="auto"/>
                <w:kern w:val="0"/>
                <w:szCs w:val="21"/>
              </w:rPr>
            </w:pPr>
            <w:r>
              <w:rPr>
                <w:rFonts w:hint="eastAsia" w:ascii="宋体" w:hAnsi="宋体" w:cs="宋体"/>
                <w:b/>
                <w:color w:val="auto"/>
                <w:kern w:val="0"/>
                <w:szCs w:val="2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56" w:hRule="exact"/>
        </w:trPr>
        <w:tc>
          <w:tcPr>
            <w:tcW w:w="977" w:type="dxa"/>
            <w:vMerge w:val="restart"/>
            <w:vAlign w:val="center"/>
          </w:tcPr>
          <w:p>
            <w:pPr>
              <w:autoSpaceDE w:val="0"/>
              <w:autoSpaceDN w:val="0"/>
              <w:snapToGrid w:val="0"/>
              <w:ind w:right="11"/>
              <w:jc w:val="center"/>
              <w:rPr>
                <w:rFonts w:ascii="宋体" w:hAnsi="宋体" w:cs="宋体"/>
                <w:color w:val="auto"/>
                <w:kern w:val="0"/>
                <w:szCs w:val="21"/>
              </w:rPr>
            </w:pPr>
            <w:r>
              <w:rPr>
                <w:rFonts w:hint="eastAsia" w:ascii="宋体" w:hAnsi="宋体"/>
                <w:color w:val="auto"/>
              </w:rPr>
              <w:t>2.2.4(1)</w:t>
            </w:r>
          </w:p>
        </w:tc>
        <w:tc>
          <w:tcPr>
            <w:tcW w:w="516" w:type="dxa"/>
            <w:vAlign w:val="center"/>
          </w:tcPr>
          <w:p>
            <w:pPr>
              <w:autoSpaceDE w:val="0"/>
              <w:autoSpaceDN w:val="0"/>
              <w:snapToGrid w:val="0"/>
              <w:ind w:right="11"/>
              <w:jc w:val="center"/>
              <w:rPr>
                <w:rFonts w:ascii="宋体" w:hAnsi="宋体" w:cs="宋体"/>
                <w:color w:val="auto"/>
                <w:kern w:val="0"/>
                <w:szCs w:val="21"/>
              </w:rPr>
            </w:pPr>
            <w:r>
              <w:rPr>
                <w:rFonts w:hint="eastAsia" w:ascii="宋体" w:hAnsi="宋体" w:cs="宋体"/>
                <w:color w:val="auto"/>
                <w:kern w:val="0"/>
                <w:szCs w:val="21"/>
              </w:rPr>
              <w:t>评分</w:t>
            </w:r>
          </w:p>
          <w:p>
            <w:pPr>
              <w:autoSpaceDE w:val="0"/>
              <w:autoSpaceDN w:val="0"/>
              <w:snapToGrid w:val="0"/>
              <w:ind w:right="11"/>
              <w:jc w:val="center"/>
              <w:rPr>
                <w:rFonts w:ascii="宋体" w:hAnsi="宋体" w:cs="宋体"/>
                <w:color w:val="auto"/>
                <w:kern w:val="0"/>
                <w:szCs w:val="21"/>
              </w:rPr>
            </w:pPr>
            <w:r>
              <w:rPr>
                <w:rFonts w:hint="eastAsia" w:ascii="宋体" w:hAnsi="宋体" w:cs="宋体"/>
                <w:color w:val="auto"/>
                <w:kern w:val="0"/>
                <w:szCs w:val="21"/>
              </w:rPr>
              <w:t>因素</w:t>
            </w:r>
          </w:p>
        </w:tc>
        <w:tc>
          <w:tcPr>
            <w:tcW w:w="837" w:type="dxa"/>
            <w:vAlign w:val="center"/>
          </w:tcPr>
          <w:p>
            <w:pPr>
              <w:autoSpaceDE w:val="0"/>
              <w:autoSpaceDN w:val="0"/>
              <w:snapToGrid w:val="0"/>
              <w:ind w:right="11"/>
              <w:jc w:val="center"/>
              <w:rPr>
                <w:rFonts w:ascii="宋体" w:hAnsi="宋体" w:cs="宋体"/>
                <w:color w:val="auto"/>
                <w:kern w:val="0"/>
                <w:szCs w:val="21"/>
              </w:rPr>
            </w:pPr>
            <w:r>
              <w:rPr>
                <w:rFonts w:hint="eastAsia" w:ascii="宋体" w:hAnsi="宋体" w:cs="宋体"/>
                <w:color w:val="auto"/>
                <w:kern w:val="0"/>
                <w:szCs w:val="21"/>
              </w:rPr>
              <w:t>评分因素权重分值</w:t>
            </w:r>
          </w:p>
        </w:tc>
        <w:tc>
          <w:tcPr>
            <w:tcW w:w="1482" w:type="dxa"/>
            <w:tcBorders>
              <w:right w:val="single" w:color="auto" w:sz="4" w:space="0"/>
            </w:tcBorders>
            <w:vAlign w:val="center"/>
          </w:tcPr>
          <w:p>
            <w:pPr>
              <w:autoSpaceDE w:val="0"/>
              <w:autoSpaceDN w:val="0"/>
              <w:snapToGrid w:val="0"/>
              <w:ind w:right="11"/>
              <w:jc w:val="center"/>
              <w:rPr>
                <w:rFonts w:ascii="宋体" w:hAnsi="宋体" w:cs="宋体"/>
                <w:color w:val="auto"/>
                <w:kern w:val="0"/>
                <w:szCs w:val="21"/>
              </w:rPr>
            </w:pPr>
            <w:r>
              <w:rPr>
                <w:rFonts w:hint="eastAsia" w:ascii="宋体" w:hAnsi="宋体" w:cs="宋体"/>
                <w:color w:val="auto"/>
                <w:kern w:val="0"/>
                <w:szCs w:val="21"/>
              </w:rPr>
              <w:t>各评分因素</w:t>
            </w:r>
          </w:p>
          <w:p>
            <w:pPr>
              <w:autoSpaceDE w:val="0"/>
              <w:autoSpaceDN w:val="0"/>
              <w:snapToGrid w:val="0"/>
              <w:ind w:right="11"/>
              <w:jc w:val="center"/>
              <w:rPr>
                <w:rFonts w:ascii="宋体" w:hAnsi="宋体" w:cs="宋体"/>
                <w:color w:val="auto"/>
                <w:kern w:val="0"/>
                <w:szCs w:val="21"/>
              </w:rPr>
            </w:pPr>
            <w:r>
              <w:rPr>
                <w:rFonts w:hint="eastAsia" w:ascii="宋体" w:hAnsi="宋体" w:cs="宋体"/>
                <w:color w:val="auto"/>
                <w:kern w:val="0"/>
                <w:szCs w:val="21"/>
              </w:rPr>
              <w:t>细分项</w:t>
            </w:r>
          </w:p>
        </w:tc>
        <w:tc>
          <w:tcPr>
            <w:tcW w:w="850" w:type="dxa"/>
            <w:tcBorders>
              <w:left w:val="single" w:color="auto" w:sz="4" w:space="0"/>
              <w:right w:val="single" w:color="auto" w:sz="4" w:space="0"/>
            </w:tcBorders>
            <w:vAlign w:val="center"/>
          </w:tcPr>
          <w:p>
            <w:pPr>
              <w:autoSpaceDE w:val="0"/>
              <w:autoSpaceDN w:val="0"/>
              <w:snapToGrid w:val="0"/>
              <w:ind w:right="11"/>
              <w:jc w:val="center"/>
              <w:rPr>
                <w:rFonts w:ascii="宋体" w:hAnsi="宋体" w:cs="宋体"/>
                <w:color w:val="auto"/>
                <w:kern w:val="0"/>
                <w:szCs w:val="21"/>
              </w:rPr>
            </w:pPr>
            <w:r>
              <w:rPr>
                <w:rFonts w:hint="eastAsia" w:ascii="宋体" w:hAnsi="宋体" w:cs="宋体"/>
                <w:color w:val="auto"/>
                <w:kern w:val="0"/>
                <w:szCs w:val="21"/>
              </w:rPr>
              <w:t>分值</w:t>
            </w:r>
          </w:p>
        </w:tc>
        <w:tc>
          <w:tcPr>
            <w:tcW w:w="4820" w:type="dxa"/>
            <w:vMerge w:val="continue"/>
            <w:tcBorders>
              <w:left w:val="single" w:color="auto" w:sz="4" w:space="0"/>
              <w:bottom w:val="single" w:color="auto" w:sz="4" w:space="0"/>
            </w:tcBorders>
            <w:vAlign w:val="center"/>
          </w:tcPr>
          <w:p>
            <w:pPr>
              <w:autoSpaceDE w:val="0"/>
              <w:autoSpaceDN w:val="0"/>
              <w:snapToGrid w:val="0"/>
              <w:ind w:right="11"/>
              <w:jc w:val="center"/>
              <w:rPr>
                <w:rFonts w:ascii="宋体" w:hAnsi="宋体" w:cs="宋体"/>
                <w:color w:val="auto"/>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color w:val="auto"/>
                <w:kern w:val="0"/>
                <w:szCs w:val="21"/>
              </w:rPr>
            </w:pPr>
          </w:p>
        </w:tc>
        <w:tc>
          <w:tcPr>
            <w:tcW w:w="516" w:type="dxa"/>
            <w:vMerge w:val="restart"/>
            <w:vAlign w:val="center"/>
          </w:tcPr>
          <w:p>
            <w:pPr>
              <w:autoSpaceDE w:val="0"/>
              <w:autoSpaceDN w:val="0"/>
              <w:snapToGrid w:val="0"/>
              <w:ind w:right="11"/>
              <w:jc w:val="center"/>
              <w:rPr>
                <w:rFonts w:ascii="宋体" w:hAnsi="宋体" w:cs="宋体"/>
                <w:color w:val="auto"/>
                <w:kern w:val="0"/>
                <w:szCs w:val="21"/>
              </w:rPr>
            </w:pPr>
            <w:r>
              <w:rPr>
                <w:rFonts w:hint="eastAsia" w:ascii="宋体" w:hAnsi="宋体" w:cs="宋体"/>
                <w:color w:val="auto"/>
                <w:kern w:val="0"/>
                <w:szCs w:val="21"/>
              </w:rPr>
              <w:t>技术建议书</w:t>
            </w:r>
          </w:p>
        </w:tc>
        <w:tc>
          <w:tcPr>
            <w:tcW w:w="837" w:type="dxa"/>
            <w:vMerge w:val="restart"/>
            <w:vAlign w:val="center"/>
          </w:tcPr>
          <w:p>
            <w:pPr>
              <w:autoSpaceDE w:val="0"/>
              <w:autoSpaceDN w:val="0"/>
              <w:snapToGrid w:val="0"/>
              <w:ind w:right="11"/>
              <w:jc w:val="center"/>
              <w:rPr>
                <w:rFonts w:ascii="宋体" w:hAnsi="宋体" w:cs="宋体"/>
                <w:color w:val="auto"/>
                <w:kern w:val="0"/>
                <w:szCs w:val="21"/>
              </w:rPr>
            </w:pPr>
            <w:r>
              <w:rPr>
                <w:rFonts w:hint="eastAsia" w:ascii="宋体" w:hAnsi="宋体" w:cs="宋体"/>
                <w:color w:val="auto"/>
                <w:kern w:val="0"/>
                <w:szCs w:val="21"/>
              </w:rPr>
              <w:t>45分</w:t>
            </w:r>
          </w:p>
        </w:tc>
        <w:tc>
          <w:tcPr>
            <w:tcW w:w="1482" w:type="dxa"/>
            <w:tcBorders>
              <w:right w:val="single" w:color="auto" w:sz="4" w:space="0"/>
            </w:tcBorders>
            <w:vAlign w:val="center"/>
          </w:tcPr>
          <w:p>
            <w:pPr>
              <w:autoSpaceDE w:val="0"/>
              <w:autoSpaceDN w:val="0"/>
              <w:snapToGrid w:val="0"/>
              <w:ind w:left="9" w:right="11"/>
              <w:jc w:val="center"/>
              <w:rPr>
                <w:rFonts w:ascii="宋体" w:hAnsi="宋体" w:cs="宋体"/>
                <w:color w:val="auto"/>
                <w:kern w:val="0"/>
                <w:szCs w:val="21"/>
              </w:rPr>
            </w:pPr>
            <w:r>
              <w:rPr>
                <w:rFonts w:hint="eastAsia" w:ascii="宋体" w:hAnsi="宋体" w:cs="宋体"/>
                <w:color w:val="auto"/>
                <w:szCs w:val="21"/>
              </w:rPr>
              <w:t>工作大纲</w:t>
            </w:r>
          </w:p>
        </w:tc>
        <w:tc>
          <w:tcPr>
            <w:tcW w:w="850" w:type="dxa"/>
            <w:tcBorders>
              <w:left w:val="single" w:color="auto" w:sz="4" w:space="0"/>
              <w:right w:val="single" w:color="auto" w:sz="4" w:space="0"/>
            </w:tcBorders>
            <w:vAlign w:val="center"/>
          </w:tcPr>
          <w:p>
            <w:pPr>
              <w:autoSpaceDE w:val="0"/>
              <w:autoSpaceDN w:val="0"/>
              <w:snapToGrid w:val="0"/>
              <w:ind w:left="9" w:right="11"/>
              <w:jc w:val="center"/>
              <w:rPr>
                <w:rFonts w:ascii="宋体" w:hAnsi="宋体" w:cs="宋体"/>
                <w:color w:val="auto"/>
                <w:kern w:val="0"/>
                <w:szCs w:val="21"/>
              </w:rPr>
            </w:pPr>
            <w:r>
              <w:rPr>
                <w:rFonts w:hint="eastAsia" w:ascii="宋体" w:hAnsi="宋体" w:cs="宋体"/>
                <w:color w:val="auto"/>
                <w:szCs w:val="21"/>
              </w:rPr>
              <w:t>10分</w:t>
            </w:r>
          </w:p>
        </w:tc>
        <w:tc>
          <w:tcPr>
            <w:tcW w:w="4820" w:type="dxa"/>
            <w:tcBorders>
              <w:top w:val="single" w:color="auto" w:sz="4" w:space="0"/>
              <w:left w:val="single" w:color="auto" w:sz="4" w:space="0"/>
            </w:tcBorders>
            <w:vAlign w:val="center"/>
          </w:tcPr>
          <w:p>
            <w:pPr>
              <w:snapToGrid w:val="0"/>
              <w:rPr>
                <w:rFonts w:ascii="宋体" w:hAnsi="宋体" w:cs="宋体"/>
                <w:color w:val="auto"/>
                <w:szCs w:val="21"/>
              </w:rPr>
            </w:pPr>
            <w:r>
              <w:rPr>
                <w:rFonts w:hint="eastAsia" w:ascii="宋体" w:hAnsi="宋体" w:cs="宋体"/>
                <w:color w:val="auto"/>
                <w:szCs w:val="21"/>
              </w:rPr>
              <w:t>措施一般</w:t>
            </w:r>
            <w:r>
              <w:rPr>
                <w:rFonts w:ascii="宋体" w:hAnsi="宋体" w:cs="宋体"/>
                <w:color w:val="auto"/>
                <w:szCs w:val="21"/>
              </w:rPr>
              <w:t>6</w:t>
            </w:r>
            <w:r>
              <w:rPr>
                <w:rFonts w:hint="eastAsia" w:ascii="宋体" w:hAnsi="宋体" w:cs="宋体"/>
                <w:color w:val="auto"/>
                <w:szCs w:val="21"/>
              </w:rPr>
              <w:t>分；</w:t>
            </w:r>
          </w:p>
          <w:p>
            <w:pPr>
              <w:snapToGrid w:val="0"/>
              <w:rPr>
                <w:rFonts w:ascii="宋体" w:hAnsi="宋体" w:cs="宋体"/>
                <w:color w:val="auto"/>
                <w:szCs w:val="21"/>
              </w:rPr>
            </w:pPr>
            <w:r>
              <w:rPr>
                <w:rFonts w:hint="eastAsia" w:ascii="宋体" w:hAnsi="宋体" w:cs="宋体"/>
                <w:color w:val="auto"/>
                <w:szCs w:val="21"/>
              </w:rPr>
              <w:t>合理，可行6-8分；</w:t>
            </w:r>
          </w:p>
          <w:p>
            <w:pPr>
              <w:pStyle w:val="5"/>
              <w:snapToGrid w:val="0"/>
              <w:jc w:val="left"/>
              <w:rPr>
                <w:rFonts w:hAnsi="宋体"/>
                <w:color w:val="auto"/>
                <w:kern w:val="2"/>
                <w:sz w:val="21"/>
                <w:szCs w:val="21"/>
              </w:rPr>
            </w:pPr>
            <w:r>
              <w:rPr>
                <w:rFonts w:hint="eastAsia" w:hAnsi="宋体" w:cs="宋体"/>
                <w:color w:val="auto"/>
                <w:sz w:val="21"/>
                <w:szCs w:val="21"/>
              </w:rPr>
              <w:t>科学先进，措施完善，可操作性强8-10分。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color w:val="auto"/>
                <w:kern w:val="0"/>
                <w:szCs w:val="21"/>
              </w:rPr>
            </w:pPr>
          </w:p>
        </w:tc>
        <w:tc>
          <w:tcPr>
            <w:tcW w:w="516" w:type="dxa"/>
            <w:vMerge w:val="continue"/>
            <w:vAlign w:val="center"/>
          </w:tcPr>
          <w:p>
            <w:pPr>
              <w:autoSpaceDE w:val="0"/>
              <w:autoSpaceDN w:val="0"/>
              <w:snapToGrid w:val="0"/>
              <w:ind w:right="11"/>
              <w:jc w:val="center"/>
              <w:rPr>
                <w:rFonts w:ascii="宋体" w:hAnsi="宋体" w:cs="宋体"/>
                <w:color w:val="auto"/>
                <w:kern w:val="0"/>
                <w:szCs w:val="21"/>
              </w:rPr>
            </w:pPr>
          </w:p>
        </w:tc>
        <w:tc>
          <w:tcPr>
            <w:tcW w:w="837" w:type="dxa"/>
            <w:vMerge w:val="continue"/>
            <w:vAlign w:val="center"/>
          </w:tcPr>
          <w:p>
            <w:pPr>
              <w:autoSpaceDE w:val="0"/>
              <w:autoSpaceDN w:val="0"/>
              <w:snapToGrid w:val="0"/>
              <w:ind w:right="11"/>
              <w:jc w:val="center"/>
              <w:rPr>
                <w:rFonts w:ascii="宋体" w:hAnsi="宋体" w:cs="宋体"/>
                <w:color w:val="auto"/>
                <w:kern w:val="0"/>
                <w:szCs w:val="21"/>
              </w:rPr>
            </w:pPr>
          </w:p>
        </w:tc>
        <w:tc>
          <w:tcPr>
            <w:tcW w:w="1482" w:type="dxa"/>
            <w:tcBorders>
              <w:right w:val="single" w:color="auto" w:sz="4" w:space="0"/>
            </w:tcBorders>
            <w:vAlign w:val="center"/>
          </w:tcPr>
          <w:p>
            <w:pPr>
              <w:pStyle w:val="5"/>
              <w:snapToGrid w:val="0"/>
              <w:jc w:val="center"/>
              <w:rPr>
                <w:rFonts w:hAnsi="宋体"/>
                <w:color w:val="auto"/>
                <w:kern w:val="2"/>
                <w:sz w:val="21"/>
                <w:szCs w:val="21"/>
              </w:rPr>
            </w:pPr>
            <w:r>
              <w:rPr>
                <w:rFonts w:hint="eastAsia" w:hAnsi="宋体" w:cs="宋体"/>
                <w:color w:val="auto"/>
                <w:sz w:val="21"/>
                <w:szCs w:val="21"/>
              </w:rPr>
              <w:t>对本项目工作范围和任务理解</w:t>
            </w:r>
          </w:p>
        </w:tc>
        <w:tc>
          <w:tcPr>
            <w:tcW w:w="850" w:type="dxa"/>
            <w:tcBorders>
              <w:left w:val="single" w:color="auto" w:sz="4" w:space="0"/>
              <w:right w:val="single" w:color="auto" w:sz="4" w:space="0"/>
            </w:tcBorders>
            <w:vAlign w:val="center"/>
          </w:tcPr>
          <w:p>
            <w:pPr>
              <w:pStyle w:val="5"/>
              <w:snapToGrid w:val="0"/>
              <w:ind w:left="33" w:leftChars="-48" w:right="-31" w:rightChars="-15" w:hanging="134" w:hangingChars="64"/>
              <w:jc w:val="center"/>
              <w:rPr>
                <w:rFonts w:hAnsi="宋体"/>
                <w:color w:val="auto"/>
                <w:kern w:val="2"/>
                <w:sz w:val="21"/>
                <w:szCs w:val="21"/>
              </w:rPr>
            </w:pPr>
            <w:r>
              <w:rPr>
                <w:rFonts w:hint="eastAsia" w:hAnsi="宋体" w:cs="宋体"/>
                <w:color w:val="auto"/>
                <w:sz w:val="21"/>
                <w:szCs w:val="21"/>
              </w:rPr>
              <w:t>10分</w:t>
            </w:r>
          </w:p>
        </w:tc>
        <w:tc>
          <w:tcPr>
            <w:tcW w:w="4820" w:type="dxa"/>
            <w:tcBorders>
              <w:left w:val="single" w:color="auto" w:sz="4" w:space="0"/>
            </w:tcBorders>
            <w:vAlign w:val="center"/>
          </w:tcPr>
          <w:p>
            <w:pPr>
              <w:snapToGrid w:val="0"/>
              <w:rPr>
                <w:rFonts w:ascii="宋体" w:hAnsi="宋体" w:cs="宋体"/>
                <w:color w:val="auto"/>
                <w:szCs w:val="21"/>
              </w:rPr>
            </w:pPr>
            <w:r>
              <w:rPr>
                <w:rFonts w:hint="eastAsia" w:ascii="宋体" w:hAnsi="宋体" w:cs="宋体"/>
                <w:color w:val="auto"/>
                <w:szCs w:val="21"/>
              </w:rPr>
              <w:t>理解基本准确，思路</w:t>
            </w:r>
            <w:r>
              <w:rPr>
                <w:rFonts w:hint="eastAsia" w:ascii="宋体" w:hAnsi="宋体" w:cs="宋体"/>
                <w:color w:val="auto"/>
                <w:szCs w:val="21"/>
                <w:lang w:eastAsia="zh-CN"/>
              </w:rPr>
              <w:t>一般</w:t>
            </w:r>
            <w:r>
              <w:rPr>
                <w:rFonts w:hint="eastAsia" w:ascii="宋体" w:hAnsi="宋体" w:cs="宋体"/>
                <w:color w:val="auto"/>
                <w:szCs w:val="21"/>
              </w:rPr>
              <w:t>6分；</w:t>
            </w:r>
          </w:p>
          <w:p>
            <w:pPr>
              <w:snapToGrid w:val="0"/>
              <w:rPr>
                <w:rFonts w:ascii="宋体" w:hAnsi="宋体" w:cs="宋体"/>
                <w:color w:val="auto"/>
                <w:szCs w:val="21"/>
              </w:rPr>
            </w:pPr>
            <w:r>
              <w:rPr>
                <w:rFonts w:hint="eastAsia" w:ascii="宋体" w:hAnsi="宋体" w:cs="宋体"/>
                <w:color w:val="auto"/>
                <w:szCs w:val="21"/>
              </w:rPr>
              <w:t>理解基本准确，思路</w:t>
            </w:r>
            <w:r>
              <w:rPr>
                <w:rFonts w:hint="eastAsia" w:ascii="宋体" w:hAnsi="宋体" w:cs="宋体"/>
                <w:color w:val="auto"/>
                <w:szCs w:val="21"/>
                <w:lang w:eastAsia="zh-CN"/>
              </w:rPr>
              <w:t>合理</w:t>
            </w:r>
            <w:r>
              <w:rPr>
                <w:rFonts w:hint="eastAsia" w:ascii="宋体" w:hAnsi="宋体" w:cs="宋体"/>
                <w:color w:val="auto"/>
                <w:szCs w:val="21"/>
              </w:rPr>
              <w:t>6-8分；</w:t>
            </w:r>
          </w:p>
          <w:p>
            <w:pPr>
              <w:pStyle w:val="5"/>
              <w:snapToGrid w:val="0"/>
              <w:jc w:val="left"/>
              <w:rPr>
                <w:rFonts w:hAnsi="宋体"/>
                <w:color w:val="auto"/>
                <w:kern w:val="2"/>
                <w:sz w:val="21"/>
                <w:szCs w:val="21"/>
              </w:rPr>
            </w:pPr>
            <w:r>
              <w:rPr>
                <w:rFonts w:hint="eastAsia" w:hAnsi="宋体" w:cs="宋体"/>
                <w:color w:val="auto"/>
                <w:sz w:val="21"/>
                <w:szCs w:val="21"/>
              </w:rPr>
              <w:t>理解准确，思路清晰，全面、合理，符合项目要</w:t>
            </w:r>
            <w:r>
              <w:rPr>
                <w:rFonts w:hint="eastAsia" w:cs="宋体"/>
                <w:color w:val="auto"/>
                <w:sz w:val="21"/>
                <w:szCs w:val="21"/>
              </w:rPr>
              <w:t>求</w:t>
            </w:r>
            <w:r>
              <w:rPr>
                <w:rFonts w:hint="eastAsia" w:hAnsi="宋体" w:cs="宋体"/>
                <w:color w:val="auto"/>
                <w:sz w:val="21"/>
                <w:szCs w:val="21"/>
              </w:rPr>
              <w:t>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color w:val="auto"/>
                <w:kern w:val="0"/>
                <w:szCs w:val="21"/>
              </w:rPr>
            </w:pPr>
          </w:p>
        </w:tc>
        <w:tc>
          <w:tcPr>
            <w:tcW w:w="516" w:type="dxa"/>
            <w:vMerge w:val="continue"/>
            <w:vAlign w:val="center"/>
          </w:tcPr>
          <w:p>
            <w:pPr>
              <w:autoSpaceDE w:val="0"/>
              <w:autoSpaceDN w:val="0"/>
              <w:snapToGrid w:val="0"/>
              <w:ind w:right="11"/>
              <w:jc w:val="center"/>
              <w:rPr>
                <w:rFonts w:ascii="宋体" w:hAnsi="宋体" w:cs="宋体"/>
                <w:color w:val="auto"/>
                <w:kern w:val="0"/>
                <w:szCs w:val="21"/>
              </w:rPr>
            </w:pPr>
          </w:p>
        </w:tc>
        <w:tc>
          <w:tcPr>
            <w:tcW w:w="837" w:type="dxa"/>
            <w:vMerge w:val="continue"/>
            <w:vAlign w:val="center"/>
          </w:tcPr>
          <w:p>
            <w:pPr>
              <w:autoSpaceDE w:val="0"/>
              <w:autoSpaceDN w:val="0"/>
              <w:snapToGrid w:val="0"/>
              <w:ind w:right="11"/>
              <w:jc w:val="center"/>
              <w:rPr>
                <w:rFonts w:ascii="宋体" w:hAnsi="宋体" w:cs="宋体"/>
                <w:color w:val="auto"/>
                <w:kern w:val="0"/>
                <w:szCs w:val="21"/>
              </w:rPr>
            </w:pPr>
          </w:p>
        </w:tc>
        <w:tc>
          <w:tcPr>
            <w:tcW w:w="1482" w:type="dxa"/>
            <w:tcBorders>
              <w:right w:val="single" w:color="auto" w:sz="4" w:space="0"/>
            </w:tcBorders>
            <w:vAlign w:val="center"/>
          </w:tcPr>
          <w:p>
            <w:pPr>
              <w:pStyle w:val="5"/>
              <w:snapToGrid w:val="0"/>
              <w:jc w:val="center"/>
              <w:rPr>
                <w:rFonts w:hAnsi="宋体"/>
                <w:color w:val="auto"/>
                <w:kern w:val="2"/>
                <w:sz w:val="21"/>
                <w:szCs w:val="21"/>
              </w:rPr>
            </w:pPr>
            <w:r>
              <w:rPr>
                <w:rFonts w:hint="eastAsia" w:hAnsi="宋体" w:cs="宋体"/>
                <w:color w:val="auto"/>
                <w:sz w:val="21"/>
                <w:szCs w:val="21"/>
              </w:rPr>
              <w:t>质量、进度、安全保证措施</w:t>
            </w:r>
          </w:p>
        </w:tc>
        <w:tc>
          <w:tcPr>
            <w:tcW w:w="850" w:type="dxa"/>
            <w:tcBorders>
              <w:left w:val="single" w:color="auto" w:sz="4" w:space="0"/>
              <w:right w:val="single" w:color="auto" w:sz="4" w:space="0"/>
            </w:tcBorders>
            <w:vAlign w:val="center"/>
          </w:tcPr>
          <w:p>
            <w:pPr>
              <w:pStyle w:val="5"/>
              <w:snapToGrid w:val="0"/>
              <w:ind w:left="33" w:leftChars="-48" w:right="-31" w:rightChars="-15" w:hanging="134" w:hangingChars="64"/>
              <w:jc w:val="center"/>
              <w:rPr>
                <w:rFonts w:hAnsi="宋体"/>
                <w:color w:val="auto"/>
                <w:kern w:val="2"/>
                <w:sz w:val="21"/>
                <w:szCs w:val="21"/>
              </w:rPr>
            </w:pPr>
            <w:r>
              <w:rPr>
                <w:rFonts w:hAnsi="宋体" w:cs="宋体"/>
                <w:color w:val="auto"/>
                <w:sz w:val="21"/>
                <w:szCs w:val="21"/>
              </w:rPr>
              <w:t>5</w:t>
            </w:r>
            <w:r>
              <w:rPr>
                <w:rFonts w:hint="eastAsia" w:hAnsi="宋体" w:cs="宋体"/>
                <w:color w:val="auto"/>
                <w:sz w:val="21"/>
                <w:szCs w:val="21"/>
              </w:rPr>
              <w:t>分</w:t>
            </w:r>
          </w:p>
        </w:tc>
        <w:tc>
          <w:tcPr>
            <w:tcW w:w="4820" w:type="dxa"/>
            <w:tcBorders>
              <w:left w:val="single" w:color="auto" w:sz="4" w:space="0"/>
            </w:tcBorders>
            <w:vAlign w:val="center"/>
          </w:tcPr>
          <w:p>
            <w:pPr>
              <w:snapToGrid w:val="0"/>
              <w:rPr>
                <w:rFonts w:ascii="宋体" w:hAnsi="宋体" w:cs="宋体"/>
                <w:color w:val="auto"/>
                <w:szCs w:val="21"/>
              </w:rPr>
            </w:pPr>
            <w:r>
              <w:rPr>
                <w:rFonts w:hint="eastAsia" w:ascii="宋体" w:hAnsi="宋体" w:cs="宋体"/>
                <w:color w:val="auto"/>
                <w:szCs w:val="21"/>
              </w:rPr>
              <w:t>措施一般</w:t>
            </w:r>
            <w:r>
              <w:rPr>
                <w:rFonts w:ascii="宋体" w:hAnsi="宋体" w:cs="宋体"/>
                <w:color w:val="auto"/>
                <w:szCs w:val="21"/>
              </w:rPr>
              <w:t>3</w:t>
            </w:r>
            <w:r>
              <w:rPr>
                <w:rFonts w:hint="eastAsia" w:ascii="宋体" w:hAnsi="宋体" w:cs="宋体"/>
                <w:color w:val="auto"/>
                <w:szCs w:val="21"/>
              </w:rPr>
              <w:t>分；</w:t>
            </w:r>
          </w:p>
          <w:p>
            <w:pPr>
              <w:snapToGrid w:val="0"/>
              <w:rPr>
                <w:rFonts w:ascii="宋体" w:hAnsi="宋体" w:cs="宋体"/>
                <w:color w:val="auto"/>
                <w:szCs w:val="21"/>
              </w:rPr>
            </w:pPr>
            <w:r>
              <w:rPr>
                <w:rFonts w:hint="eastAsia" w:ascii="宋体" w:hAnsi="宋体" w:cs="宋体"/>
                <w:color w:val="auto"/>
                <w:szCs w:val="21"/>
              </w:rPr>
              <w:t>合理，可行</w:t>
            </w:r>
            <w:r>
              <w:rPr>
                <w:rFonts w:ascii="宋体" w:hAnsi="宋体" w:cs="宋体"/>
                <w:color w:val="auto"/>
                <w:szCs w:val="21"/>
              </w:rPr>
              <w:t>3-4</w:t>
            </w:r>
            <w:r>
              <w:rPr>
                <w:rFonts w:hint="eastAsia" w:ascii="宋体" w:hAnsi="宋体" w:cs="宋体"/>
                <w:color w:val="auto"/>
                <w:szCs w:val="21"/>
              </w:rPr>
              <w:t>分；</w:t>
            </w:r>
          </w:p>
          <w:p>
            <w:pPr>
              <w:pStyle w:val="5"/>
              <w:snapToGrid w:val="0"/>
              <w:jc w:val="left"/>
              <w:rPr>
                <w:rFonts w:hAnsi="宋体"/>
                <w:color w:val="auto"/>
                <w:kern w:val="2"/>
                <w:sz w:val="21"/>
                <w:szCs w:val="21"/>
              </w:rPr>
            </w:pPr>
            <w:r>
              <w:rPr>
                <w:rFonts w:hint="eastAsia" w:hAnsi="宋体" w:cs="宋体"/>
                <w:color w:val="auto"/>
                <w:sz w:val="21"/>
                <w:szCs w:val="21"/>
              </w:rPr>
              <w:t>科学先进、严密</w:t>
            </w:r>
            <w:r>
              <w:rPr>
                <w:rFonts w:hAnsi="宋体" w:cs="宋体"/>
                <w:color w:val="auto"/>
                <w:sz w:val="21"/>
                <w:szCs w:val="21"/>
              </w:rPr>
              <w:t>4-5</w:t>
            </w:r>
            <w:r>
              <w:rPr>
                <w:rFonts w:hint="eastAsia" w:hAnsi="宋体" w:cs="宋体"/>
                <w:color w:val="auto"/>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color w:val="auto"/>
                <w:kern w:val="0"/>
                <w:szCs w:val="21"/>
              </w:rPr>
            </w:pPr>
          </w:p>
        </w:tc>
        <w:tc>
          <w:tcPr>
            <w:tcW w:w="516" w:type="dxa"/>
            <w:vMerge w:val="continue"/>
            <w:vAlign w:val="center"/>
          </w:tcPr>
          <w:p>
            <w:pPr>
              <w:autoSpaceDE w:val="0"/>
              <w:autoSpaceDN w:val="0"/>
              <w:snapToGrid w:val="0"/>
              <w:ind w:right="11"/>
              <w:jc w:val="center"/>
              <w:rPr>
                <w:rFonts w:ascii="宋体" w:hAnsi="宋体" w:cs="宋体"/>
                <w:color w:val="auto"/>
                <w:kern w:val="0"/>
                <w:szCs w:val="21"/>
              </w:rPr>
            </w:pPr>
          </w:p>
        </w:tc>
        <w:tc>
          <w:tcPr>
            <w:tcW w:w="837" w:type="dxa"/>
            <w:vMerge w:val="continue"/>
            <w:vAlign w:val="center"/>
          </w:tcPr>
          <w:p>
            <w:pPr>
              <w:autoSpaceDE w:val="0"/>
              <w:autoSpaceDN w:val="0"/>
              <w:snapToGrid w:val="0"/>
              <w:ind w:right="11"/>
              <w:jc w:val="center"/>
              <w:rPr>
                <w:rFonts w:ascii="宋体" w:hAnsi="宋体" w:cs="宋体"/>
                <w:color w:val="auto"/>
                <w:kern w:val="0"/>
                <w:szCs w:val="21"/>
              </w:rPr>
            </w:pPr>
          </w:p>
        </w:tc>
        <w:tc>
          <w:tcPr>
            <w:tcW w:w="1482" w:type="dxa"/>
            <w:tcBorders>
              <w:right w:val="single" w:color="auto" w:sz="4" w:space="0"/>
            </w:tcBorders>
            <w:vAlign w:val="center"/>
          </w:tcPr>
          <w:p>
            <w:pPr>
              <w:autoSpaceDE w:val="0"/>
              <w:autoSpaceDN w:val="0"/>
              <w:snapToGrid w:val="0"/>
              <w:ind w:left="9" w:right="11"/>
              <w:jc w:val="center"/>
              <w:rPr>
                <w:rFonts w:ascii="宋体" w:hAnsi="宋体" w:cs="宋体"/>
                <w:color w:val="auto"/>
                <w:kern w:val="0"/>
                <w:szCs w:val="21"/>
              </w:rPr>
            </w:pPr>
            <w:r>
              <w:rPr>
                <w:rFonts w:hint="eastAsia" w:ascii="宋体" w:hAnsi="宋体" w:cs="宋体"/>
                <w:color w:val="auto"/>
                <w:szCs w:val="21"/>
                <w:lang w:eastAsia="zh-CN"/>
              </w:rPr>
              <w:t>质量检测</w:t>
            </w:r>
            <w:r>
              <w:rPr>
                <w:rFonts w:hint="eastAsia" w:ascii="宋体" w:hAnsi="宋体" w:cs="宋体"/>
                <w:color w:val="auto"/>
                <w:szCs w:val="21"/>
              </w:rPr>
              <w:t>工作流程</w:t>
            </w:r>
          </w:p>
        </w:tc>
        <w:tc>
          <w:tcPr>
            <w:tcW w:w="850" w:type="dxa"/>
            <w:tcBorders>
              <w:left w:val="single" w:color="auto" w:sz="4" w:space="0"/>
              <w:right w:val="single" w:color="auto" w:sz="4" w:space="0"/>
            </w:tcBorders>
            <w:vAlign w:val="center"/>
          </w:tcPr>
          <w:p>
            <w:pPr>
              <w:pStyle w:val="5"/>
              <w:snapToGrid w:val="0"/>
              <w:ind w:left="33" w:leftChars="-48" w:right="-31" w:rightChars="-15" w:hanging="134" w:hangingChars="64"/>
              <w:jc w:val="center"/>
              <w:rPr>
                <w:rFonts w:hAnsi="宋体" w:cs="宋体"/>
                <w:color w:val="auto"/>
                <w:szCs w:val="21"/>
              </w:rPr>
            </w:pPr>
            <w:r>
              <w:rPr>
                <w:rFonts w:hAnsi="宋体" w:cs="宋体"/>
                <w:color w:val="auto"/>
                <w:sz w:val="21"/>
                <w:szCs w:val="21"/>
              </w:rPr>
              <w:t>5</w:t>
            </w:r>
            <w:r>
              <w:rPr>
                <w:rFonts w:hint="eastAsia" w:hAnsi="宋体" w:cs="宋体"/>
                <w:color w:val="auto"/>
                <w:sz w:val="21"/>
                <w:szCs w:val="21"/>
              </w:rPr>
              <w:t>分</w:t>
            </w:r>
          </w:p>
        </w:tc>
        <w:tc>
          <w:tcPr>
            <w:tcW w:w="4820" w:type="dxa"/>
            <w:tcBorders>
              <w:left w:val="single" w:color="auto" w:sz="4" w:space="0"/>
            </w:tcBorders>
            <w:vAlign w:val="center"/>
          </w:tcPr>
          <w:p>
            <w:pPr>
              <w:snapToGrid w:val="0"/>
              <w:rPr>
                <w:rFonts w:ascii="宋体" w:hAnsi="宋体" w:cs="宋体"/>
                <w:color w:val="auto"/>
                <w:szCs w:val="21"/>
              </w:rPr>
            </w:pPr>
            <w:r>
              <w:rPr>
                <w:rFonts w:hint="eastAsia" w:ascii="宋体" w:hAnsi="宋体" w:cs="宋体"/>
                <w:color w:val="auto"/>
                <w:szCs w:val="21"/>
              </w:rPr>
              <w:t>措施一般</w:t>
            </w:r>
            <w:r>
              <w:rPr>
                <w:rFonts w:ascii="宋体" w:hAnsi="宋体" w:cs="宋体"/>
                <w:color w:val="auto"/>
                <w:szCs w:val="21"/>
              </w:rPr>
              <w:t>3</w:t>
            </w:r>
            <w:r>
              <w:rPr>
                <w:rFonts w:hint="eastAsia" w:ascii="宋体" w:hAnsi="宋体" w:cs="宋体"/>
                <w:color w:val="auto"/>
                <w:szCs w:val="21"/>
              </w:rPr>
              <w:t>分；</w:t>
            </w:r>
          </w:p>
          <w:p>
            <w:pPr>
              <w:snapToGrid w:val="0"/>
              <w:rPr>
                <w:rFonts w:ascii="宋体" w:hAnsi="宋体" w:cs="宋体"/>
                <w:color w:val="auto"/>
                <w:szCs w:val="21"/>
              </w:rPr>
            </w:pPr>
            <w:r>
              <w:rPr>
                <w:rFonts w:hint="eastAsia" w:ascii="宋体" w:hAnsi="宋体" w:cs="宋体"/>
                <w:color w:val="auto"/>
                <w:szCs w:val="21"/>
              </w:rPr>
              <w:t>合理，可行</w:t>
            </w:r>
            <w:r>
              <w:rPr>
                <w:rFonts w:ascii="宋体" w:hAnsi="宋体" w:cs="宋体"/>
                <w:color w:val="auto"/>
                <w:szCs w:val="21"/>
              </w:rPr>
              <w:t>3-4</w:t>
            </w:r>
            <w:r>
              <w:rPr>
                <w:rFonts w:hint="eastAsia" w:ascii="宋体" w:hAnsi="宋体" w:cs="宋体"/>
                <w:color w:val="auto"/>
                <w:szCs w:val="21"/>
              </w:rPr>
              <w:t>分；</w:t>
            </w:r>
          </w:p>
          <w:p>
            <w:pPr>
              <w:pStyle w:val="5"/>
              <w:snapToGrid w:val="0"/>
              <w:jc w:val="left"/>
              <w:rPr>
                <w:rFonts w:hAnsi="宋体"/>
                <w:color w:val="auto"/>
                <w:kern w:val="2"/>
                <w:sz w:val="21"/>
                <w:szCs w:val="21"/>
              </w:rPr>
            </w:pPr>
            <w:r>
              <w:rPr>
                <w:rFonts w:hint="eastAsia" w:hAnsi="宋体" w:cs="宋体"/>
                <w:color w:val="auto"/>
                <w:sz w:val="21"/>
                <w:szCs w:val="21"/>
              </w:rPr>
              <w:t>科学先进，措施完善，可操作性强</w:t>
            </w:r>
            <w:r>
              <w:rPr>
                <w:rFonts w:hAnsi="宋体" w:cs="宋体"/>
                <w:color w:val="auto"/>
                <w:sz w:val="21"/>
                <w:szCs w:val="21"/>
              </w:rPr>
              <w:t>4-5</w:t>
            </w:r>
            <w:r>
              <w:rPr>
                <w:rFonts w:hint="eastAsia" w:hAnsi="宋体" w:cs="宋体"/>
                <w:color w:val="auto"/>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color w:val="auto"/>
                <w:kern w:val="0"/>
                <w:szCs w:val="21"/>
              </w:rPr>
            </w:pPr>
          </w:p>
        </w:tc>
        <w:tc>
          <w:tcPr>
            <w:tcW w:w="516" w:type="dxa"/>
            <w:vMerge w:val="continue"/>
            <w:vAlign w:val="center"/>
          </w:tcPr>
          <w:p>
            <w:pPr>
              <w:autoSpaceDE w:val="0"/>
              <w:autoSpaceDN w:val="0"/>
              <w:snapToGrid w:val="0"/>
              <w:ind w:right="11"/>
              <w:jc w:val="center"/>
              <w:rPr>
                <w:rFonts w:ascii="宋体" w:hAnsi="宋体" w:cs="宋体"/>
                <w:color w:val="auto"/>
                <w:kern w:val="0"/>
                <w:szCs w:val="21"/>
              </w:rPr>
            </w:pPr>
          </w:p>
        </w:tc>
        <w:tc>
          <w:tcPr>
            <w:tcW w:w="837" w:type="dxa"/>
            <w:vMerge w:val="continue"/>
            <w:vAlign w:val="center"/>
          </w:tcPr>
          <w:p>
            <w:pPr>
              <w:autoSpaceDE w:val="0"/>
              <w:autoSpaceDN w:val="0"/>
              <w:snapToGrid w:val="0"/>
              <w:ind w:right="11"/>
              <w:jc w:val="center"/>
              <w:rPr>
                <w:rFonts w:ascii="宋体" w:hAnsi="宋体" w:cs="宋体"/>
                <w:color w:val="auto"/>
                <w:kern w:val="0"/>
                <w:szCs w:val="21"/>
              </w:rPr>
            </w:pPr>
          </w:p>
        </w:tc>
        <w:tc>
          <w:tcPr>
            <w:tcW w:w="1482" w:type="dxa"/>
            <w:tcBorders>
              <w:right w:val="single" w:color="auto" w:sz="4" w:space="0"/>
            </w:tcBorders>
            <w:vAlign w:val="center"/>
          </w:tcPr>
          <w:p>
            <w:pPr>
              <w:pStyle w:val="5"/>
              <w:snapToGrid w:val="0"/>
              <w:jc w:val="center"/>
              <w:rPr>
                <w:rFonts w:hAnsi="宋体"/>
                <w:color w:val="auto"/>
                <w:kern w:val="2"/>
                <w:sz w:val="21"/>
                <w:szCs w:val="21"/>
              </w:rPr>
            </w:pPr>
            <w:r>
              <w:rPr>
                <w:rFonts w:hint="eastAsia" w:hAnsi="宋体" w:cs="宋体"/>
                <w:color w:val="auto"/>
                <w:sz w:val="21"/>
                <w:szCs w:val="21"/>
              </w:rPr>
              <w:t>对</w:t>
            </w:r>
            <w:r>
              <w:rPr>
                <w:rFonts w:hint="eastAsia" w:hAnsi="宋体" w:cs="宋体"/>
                <w:color w:val="auto"/>
                <w:sz w:val="21"/>
                <w:szCs w:val="21"/>
                <w:lang w:val="en-US" w:eastAsia="zh-CN"/>
              </w:rPr>
              <w:t>可能</w:t>
            </w:r>
            <w:r>
              <w:rPr>
                <w:rFonts w:hint="eastAsia" w:hAnsi="宋体" w:cs="宋体"/>
                <w:color w:val="auto"/>
                <w:sz w:val="21"/>
                <w:szCs w:val="21"/>
              </w:rPr>
              <w:t>发现出的问题类型提出切实可行的处理建议和维</w:t>
            </w:r>
            <w:r>
              <w:rPr>
                <w:rFonts w:hint="eastAsia" w:hAnsi="宋体" w:cs="宋体"/>
                <w:color w:val="auto"/>
                <w:sz w:val="21"/>
                <w:szCs w:val="21"/>
                <w:lang w:eastAsia="zh-CN"/>
              </w:rPr>
              <w:t>护</w:t>
            </w:r>
            <w:r>
              <w:rPr>
                <w:rFonts w:hint="eastAsia" w:hAnsi="宋体" w:cs="宋体"/>
                <w:color w:val="auto"/>
                <w:sz w:val="21"/>
                <w:szCs w:val="21"/>
              </w:rPr>
              <w:t>方案</w:t>
            </w:r>
          </w:p>
        </w:tc>
        <w:tc>
          <w:tcPr>
            <w:tcW w:w="850" w:type="dxa"/>
            <w:tcBorders>
              <w:left w:val="single" w:color="auto" w:sz="4" w:space="0"/>
              <w:right w:val="single" w:color="auto" w:sz="4" w:space="0"/>
            </w:tcBorders>
            <w:vAlign w:val="center"/>
          </w:tcPr>
          <w:p>
            <w:pPr>
              <w:pStyle w:val="5"/>
              <w:snapToGrid w:val="0"/>
              <w:jc w:val="center"/>
              <w:rPr>
                <w:rFonts w:hAnsi="宋体"/>
                <w:color w:val="auto"/>
                <w:kern w:val="2"/>
                <w:sz w:val="21"/>
                <w:szCs w:val="21"/>
              </w:rPr>
            </w:pPr>
            <w:r>
              <w:rPr>
                <w:rFonts w:hAnsi="宋体" w:cs="宋体"/>
                <w:color w:val="auto"/>
                <w:sz w:val="21"/>
                <w:szCs w:val="21"/>
              </w:rPr>
              <w:t>5</w:t>
            </w:r>
            <w:r>
              <w:rPr>
                <w:rFonts w:hint="eastAsia" w:hAnsi="宋体" w:cs="宋体"/>
                <w:color w:val="auto"/>
                <w:sz w:val="21"/>
                <w:szCs w:val="21"/>
              </w:rPr>
              <w:t>分</w:t>
            </w:r>
          </w:p>
        </w:tc>
        <w:tc>
          <w:tcPr>
            <w:tcW w:w="4820" w:type="dxa"/>
            <w:tcBorders>
              <w:left w:val="single" w:color="auto" w:sz="4" w:space="0"/>
            </w:tcBorders>
            <w:vAlign w:val="center"/>
          </w:tcPr>
          <w:p>
            <w:pPr>
              <w:snapToGrid w:val="0"/>
              <w:rPr>
                <w:rFonts w:ascii="宋体" w:hAnsi="宋体" w:cs="宋体"/>
                <w:color w:val="auto"/>
                <w:szCs w:val="21"/>
              </w:rPr>
            </w:pPr>
            <w:r>
              <w:rPr>
                <w:rFonts w:hint="eastAsia" w:ascii="宋体" w:hAnsi="宋体" w:cs="宋体"/>
                <w:color w:val="auto"/>
                <w:szCs w:val="21"/>
              </w:rPr>
              <w:t>措施一般</w:t>
            </w:r>
            <w:r>
              <w:rPr>
                <w:rFonts w:ascii="宋体" w:hAnsi="宋体" w:cs="宋体"/>
                <w:color w:val="auto"/>
                <w:szCs w:val="21"/>
              </w:rPr>
              <w:t>3</w:t>
            </w:r>
            <w:r>
              <w:rPr>
                <w:rFonts w:hint="eastAsia" w:ascii="宋体" w:hAnsi="宋体" w:cs="宋体"/>
                <w:color w:val="auto"/>
                <w:szCs w:val="21"/>
              </w:rPr>
              <w:t>分；</w:t>
            </w:r>
          </w:p>
          <w:p>
            <w:pPr>
              <w:snapToGrid w:val="0"/>
              <w:rPr>
                <w:rFonts w:ascii="宋体" w:hAnsi="宋体" w:cs="宋体"/>
                <w:color w:val="auto"/>
                <w:szCs w:val="21"/>
              </w:rPr>
            </w:pPr>
            <w:r>
              <w:rPr>
                <w:rFonts w:hint="eastAsia" w:ascii="宋体" w:hAnsi="宋体" w:cs="宋体"/>
                <w:color w:val="auto"/>
                <w:szCs w:val="21"/>
              </w:rPr>
              <w:t>合理，可行</w:t>
            </w:r>
            <w:r>
              <w:rPr>
                <w:rFonts w:ascii="宋体" w:hAnsi="宋体" w:cs="宋体"/>
                <w:color w:val="auto"/>
                <w:szCs w:val="21"/>
              </w:rPr>
              <w:t>3-4</w:t>
            </w:r>
            <w:r>
              <w:rPr>
                <w:rFonts w:hint="eastAsia" w:ascii="宋体" w:hAnsi="宋体" w:cs="宋体"/>
                <w:color w:val="auto"/>
                <w:szCs w:val="21"/>
              </w:rPr>
              <w:t>分；</w:t>
            </w:r>
          </w:p>
          <w:p>
            <w:pPr>
              <w:pStyle w:val="5"/>
              <w:snapToGrid w:val="0"/>
              <w:jc w:val="left"/>
              <w:rPr>
                <w:rFonts w:hAnsi="宋体"/>
                <w:color w:val="auto"/>
                <w:kern w:val="2"/>
                <w:sz w:val="21"/>
                <w:szCs w:val="21"/>
              </w:rPr>
            </w:pPr>
            <w:r>
              <w:rPr>
                <w:rFonts w:hint="eastAsia" w:hAnsi="宋体" w:cs="宋体"/>
                <w:color w:val="auto"/>
                <w:sz w:val="21"/>
                <w:szCs w:val="21"/>
              </w:rPr>
              <w:t>科学先进，措施完善，可操作性强</w:t>
            </w:r>
            <w:r>
              <w:rPr>
                <w:rFonts w:hAnsi="宋体" w:cs="宋体"/>
                <w:color w:val="auto"/>
                <w:sz w:val="21"/>
                <w:szCs w:val="21"/>
              </w:rPr>
              <w:t>4-5</w:t>
            </w:r>
            <w:r>
              <w:rPr>
                <w:rFonts w:hint="eastAsia" w:hAnsi="宋体" w:cs="宋体"/>
                <w:color w:val="auto"/>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color w:val="auto"/>
                <w:kern w:val="0"/>
                <w:szCs w:val="21"/>
              </w:rPr>
            </w:pPr>
          </w:p>
        </w:tc>
        <w:tc>
          <w:tcPr>
            <w:tcW w:w="516" w:type="dxa"/>
            <w:vMerge w:val="continue"/>
            <w:vAlign w:val="center"/>
          </w:tcPr>
          <w:p>
            <w:pPr>
              <w:autoSpaceDE w:val="0"/>
              <w:autoSpaceDN w:val="0"/>
              <w:snapToGrid w:val="0"/>
              <w:ind w:right="11"/>
              <w:jc w:val="center"/>
              <w:rPr>
                <w:rFonts w:ascii="宋体" w:hAnsi="宋体" w:cs="宋体"/>
                <w:color w:val="auto"/>
                <w:kern w:val="0"/>
                <w:szCs w:val="21"/>
              </w:rPr>
            </w:pPr>
          </w:p>
        </w:tc>
        <w:tc>
          <w:tcPr>
            <w:tcW w:w="837" w:type="dxa"/>
            <w:vMerge w:val="continue"/>
            <w:vAlign w:val="center"/>
          </w:tcPr>
          <w:p>
            <w:pPr>
              <w:autoSpaceDE w:val="0"/>
              <w:autoSpaceDN w:val="0"/>
              <w:snapToGrid w:val="0"/>
              <w:ind w:right="11"/>
              <w:jc w:val="center"/>
              <w:rPr>
                <w:rFonts w:ascii="宋体" w:hAnsi="宋体" w:cs="宋体"/>
                <w:color w:val="auto"/>
                <w:kern w:val="0"/>
                <w:szCs w:val="21"/>
              </w:rPr>
            </w:pPr>
          </w:p>
        </w:tc>
        <w:tc>
          <w:tcPr>
            <w:tcW w:w="1482" w:type="dxa"/>
            <w:tcBorders>
              <w:right w:val="single" w:color="auto" w:sz="4" w:space="0"/>
            </w:tcBorders>
            <w:vAlign w:val="center"/>
          </w:tcPr>
          <w:p>
            <w:pPr>
              <w:pStyle w:val="5"/>
              <w:snapToGrid w:val="0"/>
              <w:jc w:val="center"/>
              <w:rPr>
                <w:rFonts w:hAnsi="宋体"/>
                <w:color w:val="auto"/>
                <w:kern w:val="2"/>
                <w:sz w:val="21"/>
                <w:szCs w:val="21"/>
              </w:rPr>
            </w:pPr>
            <w:r>
              <w:rPr>
                <w:rFonts w:hint="eastAsia" w:hAnsi="宋体" w:cs="宋体"/>
                <w:color w:val="auto"/>
                <w:sz w:val="21"/>
                <w:szCs w:val="21"/>
              </w:rPr>
              <w:t>承诺出具的</w:t>
            </w:r>
            <w:r>
              <w:rPr>
                <w:rFonts w:hint="eastAsia" w:hAnsi="宋体" w:cs="宋体"/>
                <w:color w:val="auto"/>
                <w:sz w:val="21"/>
                <w:szCs w:val="21"/>
                <w:lang w:eastAsia="zh-CN"/>
              </w:rPr>
              <w:t>检测</w:t>
            </w:r>
            <w:r>
              <w:rPr>
                <w:rFonts w:hint="eastAsia" w:hAnsi="宋体" w:cs="宋体"/>
                <w:color w:val="auto"/>
                <w:sz w:val="21"/>
                <w:szCs w:val="21"/>
              </w:rPr>
              <w:t>成果及后续服务</w:t>
            </w:r>
          </w:p>
        </w:tc>
        <w:tc>
          <w:tcPr>
            <w:tcW w:w="850" w:type="dxa"/>
            <w:tcBorders>
              <w:left w:val="single" w:color="auto" w:sz="4" w:space="0"/>
              <w:right w:val="single" w:color="auto" w:sz="4" w:space="0"/>
            </w:tcBorders>
            <w:vAlign w:val="center"/>
          </w:tcPr>
          <w:p>
            <w:pPr>
              <w:pStyle w:val="5"/>
              <w:snapToGrid w:val="0"/>
              <w:jc w:val="center"/>
              <w:rPr>
                <w:rFonts w:hAnsi="宋体"/>
                <w:color w:val="auto"/>
                <w:kern w:val="2"/>
                <w:sz w:val="21"/>
                <w:szCs w:val="21"/>
              </w:rPr>
            </w:pPr>
            <w:r>
              <w:rPr>
                <w:rFonts w:hAnsi="宋体" w:cs="宋体"/>
                <w:color w:val="auto"/>
                <w:sz w:val="21"/>
                <w:szCs w:val="21"/>
              </w:rPr>
              <w:t>5</w:t>
            </w:r>
            <w:r>
              <w:rPr>
                <w:rFonts w:hint="eastAsia" w:hAnsi="宋体" w:cs="宋体"/>
                <w:color w:val="auto"/>
                <w:sz w:val="21"/>
                <w:szCs w:val="21"/>
              </w:rPr>
              <w:t>分</w:t>
            </w:r>
          </w:p>
        </w:tc>
        <w:tc>
          <w:tcPr>
            <w:tcW w:w="4820" w:type="dxa"/>
            <w:tcBorders>
              <w:left w:val="single" w:color="auto" w:sz="4" w:space="0"/>
            </w:tcBorders>
            <w:vAlign w:val="center"/>
          </w:tcPr>
          <w:p>
            <w:pPr>
              <w:snapToGrid w:val="0"/>
              <w:rPr>
                <w:rFonts w:ascii="宋体" w:hAnsi="宋体" w:cs="宋体"/>
                <w:color w:val="auto"/>
                <w:szCs w:val="21"/>
              </w:rPr>
            </w:pPr>
            <w:r>
              <w:rPr>
                <w:rFonts w:hint="eastAsia" w:ascii="宋体" w:hAnsi="宋体" w:cs="宋体"/>
                <w:color w:val="auto"/>
                <w:szCs w:val="21"/>
              </w:rPr>
              <w:t>出具的检测成果不符合国家规定0分；</w:t>
            </w:r>
          </w:p>
          <w:p>
            <w:pPr>
              <w:snapToGrid w:val="0"/>
              <w:rPr>
                <w:rFonts w:ascii="宋体" w:hAnsi="宋体" w:cs="宋体"/>
                <w:color w:val="auto"/>
                <w:szCs w:val="21"/>
              </w:rPr>
            </w:pPr>
            <w:r>
              <w:rPr>
                <w:rFonts w:hint="eastAsia" w:ascii="宋体" w:hAnsi="宋体" w:cs="宋体"/>
                <w:color w:val="auto"/>
                <w:szCs w:val="21"/>
              </w:rPr>
              <w:t>检测成果符合国家规范要求，后续服务较完善</w:t>
            </w:r>
            <w:r>
              <w:rPr>
                <w:rFonts w:ascii="宋体" w:hAnsi="宋体" w:cs="宋体"/>
                <w:color w:val="auto"/>
                <w:szCs w:val="21"/>
              </w:rPr>
              <w:t>3-4</w:t>
            </w:r>
            <w:r>
              <w:rPr>
                <w:rFonts w:hint="eastAsia" w:ascii="宋体" w:hAnsi="宋体" w:cs="宋体"/>
                <w:color w:val="auto"/>
                <w:szCs w:val="21"/>
              </w:rPr>
              <w:t>分；</w:t>
            </w:r>
          </w:p>
          <w:p>
            <w:pPr>
              <w:pStyle w:val="5"/>
              <w:snapToGrid w:val="0"/>
              <w:jc w:val="left"/>
              <w:rPr>
                <w:rFonts w:hAnsi="宋体"/>
                <w:color w:val="auto"/>
                <w:kern w:val="2"/>
                <w:sz w:val="21"/>
                <w:szCs w:val="21"/>
              </w:rPr>
            </w:pPr>
            <w:r>
              <w:rPr>
                <w:rFonts w:hint="eastAsia" w:hAnsi="宋体" w:cs="宋体"/>
                <w:color w:val="auto"/>
                <w:sz w:val="21"/>
                <w:szCs w:val="21"/>
              </w:rPr>
              <w:t>检测成果符合国家规范要求，后续服务完善</w:t>
            </w:r>
            <w:r>
              <w:rPr>
                <w:rFonts w:hAnsi="宋体" w:cs="宋体"/>
                <w:color w:val="auto"/>
                <w:sz w:val="21"/>
                <w:szCs w:val="21"/>
              </w:rPr>
              <w:t>4</w:t>
            </w:r>
            <w:r>
              <w:rPr>
                <w:rFonts w:hint="eastAsia" w:hAnsi="宋体" w:cs="宋体"/>
                <w:color w:val="auto"/>
                <w:sz w:val="21"/>
                <w:szCs w:val="21"/>
              </w:rPr>
              <w:t>-</w:t>
            </w:r>
            <w:r>
              <w:rPr>
                <w:rFonts w:hAnsi="宋体" w:cs="宋体"/>
                <w:color w:val="auto"/>
                <w:sz w:val="21"/>
                <w:szCs w:val="21"/>
              </w:rPr>
              <w:t>5</w:t>
            </w:r>
            <w:r>
              <w:rPr>
                <w:rFonts w:hint="eastAsia" w:hAnsi="宋体" w:cs="宋体"/>
                <w:color w:val="auto"/>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color w:val="auto"/>
                <w:kern w:val="0"/>
                <w:szCs w:val="21"/>
              </w:rPr>
            </w:pPr>
          </w:p>
        </w:tc>
        <w:tc>
          <w:tcPr>
            <w:tcW w:w="516" w:type="dxa"/>
            <w:vMerge w:val="continue"/>
            <w:vAlign w:val="center"/>
          </w:tcPr>
          <w:p>
            <w:pPr>
              <w:autoSpaceDE w:val="0"/>
              <w:autoSpaceDN w:val="0"/>
              <w:snapToGrid w:val="0"/>
              <w:ind w:right="11"/>
              <w:jc w:val="center"/>
              <w:rPr>
                <w:rFonts w:ascii="宋体" w:hAnsi="宋体" w:cs="宋体"/>
                <w:color w:val="auto"/>
                <w:kern w:val="0"/>
                <w:szCs w:val="21"/>
              </w:rPr>
            </w:pPr>
          </w:p>
        </w:tc>
        <w:tc>
          <w:tcPr>
            <w:tcW w:w="837" w:type="dxa"/>
            <w:vMerge w:val="continue"/>
            <w:vAlign w:val="center"/>
          </w:tcPr>
          <w:p>
            <w:pPr>
              <w:autoSpaceDE w:val="0"/>
              <w:autoSpaceDN w:val="0"/>
              <w:snapToGrid w:val="0"/>
              <w:ind w:right="11"/>
              <w:jc w:val="center"/>
              <w:rPr>
                <w:rFonts w:ascii="宋体" w:hAnsi="宋体" w:cs="宋体"/>
                <w:color w:val="auto"/>
                <w:kern w:val="0"/>
                <w:szCs w:val="21"/>
              </w:rPr>
            </w:pPr>
          </w:p>
        </w:tc>
        <w:tc>
          <w:tcPr>
            <w:tcW w:w="1482" w:type="dxa"/>
            <w:tcBorders>
              <w:right w:val="single" w:color="auto" w:sz="4" w:space="0"/>
            </w:tcBorders>
            <w:vAlign w:val="center"/>
          </w:tcPr>
          <w:p>
            <w:pPr>
              <w:pStyle w:val="5"/>
              <w:snapToGrid w:val="0"/>
              <w:jc w:val="center"/>
              <w:rPr>
                <w:rFonts w:hAnsi="宋体"/>
                <w:color w:val="auto"/>
                <w:kern w:val="2"/>
                <w:sz w:val="21"/>
                <w:szCs w:val="21"/>
              </w:rPr>
            </w:pPr>
            <w:r>
              <w:rPr>
                <w:rFonts w:hint="eastAsia" w:hAnsi="宋体" w:cs="宋体"/>
                <w:color w:val="auto"/>
                <w:sz w:val="21"/>
                <w:szCs w:val="21"/>
              </w:rPr>
              <w:t>重点、难点分析</w:t>
            </w:r>
          </w:p>
        </w:tc>
        <w:tc>
          <w:tcPr>
            <w:tcW w:w="850" w:type="dxa"/>
            <w:tcBorders>
              <w:left w:val="single" w:color="auto" w:sz="4" w:space="0"/>
              <w:right w:val="single" w:color="auto" w:sz="4" w:space="0"/>
            </w:tcBorders>
            <w:vAlign w:val="center"/>
          </w:tcPr>
          <w:p>
            <w:pPr>
              <w:pStyle w:val="5"/>
              <w:snapToGrid w:val="0"/>
              <w:jc w:val="center"/>
              <w:rPr>
                <w:rFonts w:hAnsi="宋体"/>
                <w:color w:val="auto"/>
                <w:kern w:val="2"/>
                <w:sz w:val="21"/>
                <w:szCs w:val="21"/>
              </w:rPr>
            </w:pPr>
            <w:r>
              <w:rPr>
                <w:rFonts w:hAnsi="宋体" w:cs="宋体"/>
                <w:color w:val="auto"/>
                <w:sz w:val="21"/>
                <w:szCs w:val="21"/>
              </w:rPr>
              <w:t>5</w:t>
            </w:r>
            <w:r>
              <w:rPr>
                <w:rFonts w:hint="eastAsia" w:hAnsi="宋体" w:cs="宋体"/>
                <w:color w:val="auto"/>
                <w:sz w:val="21"/>
                <w:szCs w:val="21"/>
              </w:rPr>
              <w:t>分</w:t>
            </w:r>
          </w:p>
        </w:tc>
        <w:tc>
          <w:tcPr>
            <w:tcW w:w="4820" w:type="dxa"/>
            <w:tcBorders>
              <w:left w:val="single" w:color="auto" w:sz="4" w:space="0"/>
            </w:tcBorders>
            <w:vAlign w:val="center"/>
          </w:tcPr>
          <w:p>
            <w:pPr>
              <w:snapToGrid w:val="0"/>
              <w:rPr>
                <w:rFonts w:ascii="宋体" w:hAnsi="宋体" w:cs="宋体"/>
                <w:color w:val="auto"/>
                <w:szCs w:val="21"/>
              </w:rPr>
            </w:pPr>
            <w:r>
              <w:rPr>
                <w:rFonts w:hint="eastAsia" w:ascii="宋体" w:hAnsi="宋体" w:cs="宋体"/>
                <w:color w:val="auto"/>
                <w:szCs w:val="21"/>
                <w:lang w:eastAsia="zh-CN"/>
              </w:rPr>
              <w:t>分析一般</w:t>
            </w:r>
            <w:r>
              <w:rPr>
                <w:rFonts w:hint="eastAsia" w:ascii="宋体" w:hAnsi="宋体" w:cs="宋体"/>
                <w:color w:val="auto"/>
                <w:szCs w:val="21"/>
              </w:rPr>
              <w:t>3分；</w:t>
            </w:r>
          </w:p>
          <w:p>
            <w:pPr>
              <w:snapToGrid w:val="0"/>
              <w:rPr>
                <w:rFonts w:ascii="宋体" w:hAnsi="宋体" w:cs="宋体"/>
                <w:color w:val="auto"/>
                <w:szCs w:val="21"/>
              </w:rPr>
            </w:pPr>
            <w:r>
              <w:rPr>
                <w:rFonts w:hint="eastAsia" w:ascii="宋体" w:hAnsi="宋体" w:cs="宋体"/>
                <w:color w:val="auto"/>
                <w:szCs w:val="21"/>
              </w:rPr>
              <w:t>合理，可行</w:t>
            </w:r>
            <w:r>
              <w:rPr>
                <w:rFonts w:ascii="宋体" w:hAnsi="宋体" w:cs="宋体"/>
                <w:color w:val="auto"/>
                <w:szCs w:val="21"/>
              </w:rPr>
              <w:t>3</w:t>
            </w: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分；</w:t>
            </w:r>
          </w:p>
          <w:p>
            <w:pPr>
              <w:snapToGrid w:val="0"/>
              <w:jc w:val="left"/>
              <w:rPr>
                <w:rFonts w:ascii="宋体" w:hAnsi="宋体"/>
                <w:color w:val="auto"/>
                <w:szCs w:val="21"/>
              </w:rPr>
            </w:pPr>
            <w:r>
              <w:rPr>
                <w:rFonts w:hint="eastAsia" w:ascii="宋体" w:hAnsi="宋体" w:cs="宋体"/>
                <w:color w:val="auto"/>
                <w:szCs w:val="21"/>
              </w:rPr>
              <w:t>科学先进，措施完善，可操作性强</w:t>
            </w:r>
            <w:r>
              <w:rPr>
                <w:rFonts w:ascii="宋体" w:hAnsi="宋体" w:cs="宋体"/>
                <w:color w:val="auto"/>
                <w:szCs w:val="21"/>
              </w:rPr>
              <w:t>4</w:t>
            </w: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138" w:hRule="atLeast"/>
        </w:trPr>
        <w:tc>
          <w:tcPr>
            <w:tcW w:w="977" w:type="dxa"/>
            <w:vAlign w:val="center"/>
          </w:tcPr>
          <w:p>
            <w:pPr>
              <w:autoSpaceDE w:val="0"/>
              <w:autoSpaceDN w:val="0"/>
              <w:snapToGrid w:val="0"/>
              <w:ind w:right="11"/>
              <w:jc w:val="center"/>
              <w:rPr>
                <w:rFonts w:ascii="宋体" w:hAnsi="宋体" w:cs="宋体"/>
                <w:color w:val="auto"/>
                <w:kern w:val="0"/>
                <w:szCs w:val="21"/>
              </w:rPr>
            </w:pPr>
            <w:r>
              <w:rPr>
                <w:rFonts w:hint="eastAsia" w:ascii="宋体" w:hAnsi="宋体"/>
                <w:color w:val="auto"/>
              </w:rPr>
              <w:t>2.2.4(</w:t>
            </w:r>
            <w:r>
              <w:rPr>
                <w:rFonts w:ascii="宋体" w:hAnsi="宋体"/>
                <w:color w:val="auto"/>
              </w:rPr>
              <w:t>2</w:t>
            </w:r>
            <w:r>
              <w:rPr>
                <w:rFonts w:hint="eastAsia" w:ascii="宋体" w:hAnsi="宋体"/>
                <w:color w:val="auto"/>
              </w:rPr>
              <w:t>)</w:t>
            </w:r>
          </w:p>
        </w:tc>
        <w:tc>
          <w:tcPr>
            <w:tcW w:w="516" w:type="dxa"/>
            <w:vAlign w:val="center"/>
          </w:tcPr>
          <w:p>
            <w:pPr>
              <w:autoSpaceDE w:val="0"/>
              <w:autoSpaceDN w:val="0"/>
              <w:snapToGrid w:val="0"/>
              <w:ind w:right="11"/>
              <w:jc w:val="center"/>
              <w:rPr>
                <w:rFonts w:ascii="宋体" w:hAnsi="宋体" w:cs="宋体"/>
                <w:color w:val="auto"/>
                <w:kern w:val="0"/>
                <w:szCs w:val="21"/>
              </w:rPr>
            </w:pPr>
            <w:r>
              <w:rPr>
                <w:rFonts w:hint="eastAsia" w:ascii="宋体" w:hAnsi="宋体" w:cs="宋体"/>
                <w:color w:val="auto"/>
                <w:kern w:val="0"/>
                <w:szCs w:val="21"/>
              </w:rPr>
              <w:t>主要人员</w:t>
            </w:r>
          </w:p>
        </w:tc>
        <w:tc>
          <w:tcPr>
            <w:tcW w:w="837" w:type="dxa"/>
            <w:vAlign w:val="center"/>
          </w:tcPr>
          <w:p>
            <w:pPr>
              <w:autoSpaceDE w:val="0"/>
              <w:autoSpaceDN w:val="0"/>
              <w:snapToGrid w:val="0"/>
              <w:ind w:right="11"/>
              <w:jc w:val="center"/>
              <w:rPr>
                <w:rFonts w:ascii="宋体" w:hAnsi="宋体" w:cs="宋体"/>
                <w:color w:val="auto"/>
                <w:kern w:val="0"/>
                <w:szCs w:val="21"/>
              </w:rPr>
            </w:pPr>
            <w:r>
              <w:rPr>
                <w:rFonts w:hint="eastAsia" w:ascii="宋体" w:hAnsi="宋体" w:cs="宋体"/>
                <w:color w:val="auto"/>
                <w:kern w:val="0"/>
                <w:szCs w:val="21"/>
              </w:rPr>
              <w:t>20分</w:t>
            </w:r>
          </w:p>
        </w:tc>
        <w:tc>
          <w:tcPr>
            <w:tcW w:w="7152" w:type="dxa"/>
            <w:gridSpan w:val="3"/>
            <w:vAlign w:val="center"/>
          </w:tcPr>
          <w:p>
            <w:pPr>
              <w:pStyle w:val="5"/>
              <w:spacing w:line="300" w:lineRule="exact"/>
              <w:rPr>
                <w:rFonts w:hAnsi="宋体"/>
                <w:color w:val="auto"/>
                <w:kern w:val="2"/>
                <w:sz w:val="21"/>
                <w:szCs w:val="21"/>
              </w:rPr>
            </w:pPr>
            <w:r>
              <w:rPr>
                <w:rFonts w:hint="eastAsia" w:hAnsi="宋体"/>
                <w:color w:val="auto"/>
                <w:szCs w:val="21"/>
              </w:rPr>
              <w:t>项</w:t>
            </w:r>
            <w:r>
              <w:rPr>
                <w:rFonts w:hint="eastAsia" w:hAnsi="宋体"/>
                <w:color w:val="auto"/>
                <w:kern w:val="2"/>
                <w:sz w:val="21"/>
                <w:szCs w:val="21"/>
              </w:rPr>
              <w:t>目负责人满足资格审查条件（项目负责人最低要求）得</w:t>
            </w:r>
            <w:r>
              <w:rPr>
                <w:rFonts w:hAnsi="宋体"/>
                <w:color w:val="auto"/>
                <w:kern w:val="2"/>
                <w:sz w:val="21"/>
                <w:szCs w:val="21"/>
              </w:rPr>
              <w:t>12</w:t>
            </w:r>
            <w:r>
              <w:rPr>
                <w:rFonts w:hint="eastAsia" w:hAnsi="宋体"/>
                <w:color w:val="auto"/>
                <w:kern w:val="2"/>
                <w:sz w:val="21"/>
                <w:szCs w:val="21"/>
              </w:rPr>
              <w:t>分。</w:t>
            </w:r>
          </w:p>
          <w:p>
            <w:pPr>
              <w:pStyle w:val="5"/>
              <w:spacing w:line="300" w:lineRule="exact"/>
              <w:rPr>
                <w:rFonts w:hint="eastAsia" w:hAnsi="宋体" w:eastAsia="宋体"/>
                <w:color w:val="auto"/>
                <w:szCs w:val="21"/>
                <w:lang w:val="en-US" w:eastAsia="zh-CN"/>
              </w:rPr>
            </w:pPr>
            <w:r>
              <w:rPr>
                <w:rFonts w:hint="eastAsia" w:hAnsi="宋体"/>
                <w:color w:val="auto"/>
                <w:kern w:val="2"/>
                <w:sz w:val="21"/>
                <w:szCs w:val="21"/>
              </w:rPr>
              <w:t>项目负责人每增加一项满足资格审查条件（项目负责人最低要求）的业绩加</w:t>
            </w:r>
            <w:r>
              <w:rPr>
                <w:rFonts w:hint="eastAsia" w:hAnsi="宋体"/>
                <w:color w:val="auto"/>
                <w:kern w:val="2"/>
                <w:sz w:val="21"/>
                <w:szCs w:val="21"/>
                <w:lang w:val="en-US" w:eastAsia="zh-CN"/>
              </w:rPr>
              <w:t>8</w:t>
            </w:r>
            <w:r>
              <w:rPr>
                <w:rFonts w:hint="eastAsia" w:hAnsi="宋体"/>
                <w:color w:val="auto"/>
                <w:kern w:val="2"/>
                <w:sz w:val="21"/>
                <w:szCs w:val="21"/>
              </w:rPr>
              <w:t>分，最多加8分。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725" w:hRule="exact"/>
        </w:trPr>
        <w:tc>
          <w:tcPr>
            <w:tcW w:w="977" w:type="dxa"/>
            <w:vAlign w:val="center"/>
          </w:tcPr>
          <w:p>
            <w:pPr>
              <w:autoSpaceDE w:val="0"/>
              <w:autoSpaceDN w:val="0"/>
              <w:snapToGrid w:val="0"/>
              <w:ind w:right="11"/>
              <w:jc w:val="center"/>
              <w:rPr>
                <w:rFonts w:ascii="宋体" w:hAnsi="宋体"/>
                <w:color w:val="auto"/>
              </w:rPr>
            </w:pPr>
            <w:r>
              <w:rPr>
                <w:rFonts w:hint="eastAsia" w:ascii="宋体" w:hAnsi="宋体"/>
                <w:color w:val="auto"/>
              </w:rPr>
              <w:t>2.2.4(</w:t>
            </w:r>
            <w:r>
              <w:rPr>
                <w:rFonts w:ascii="宋体" w:hAnsi="宋体"/>
                <w:color w:val="auto"/>
              </w:rPr>
              <w:t>3</w:t>
            </w:r>
            <w:r>
              <w:rPr>
                <w:rFonts w:hint="eastAsia" w:ascii="宋体" w:hAnsi="宋体"/>
                <w:color w:val="auto"/>
              </w:rPr>
              <w:t>)</w:t>
            </w:r>
          </w:p>
        </w:tc>
        <w:tc>
          <w:tcPr>
            <w:tcW w:w="516" w:type="dxa"/>
            <w:vAlign w:val="center"/>
          </w:tcPr>
          <w:p>
            <w:pPr>
              <w:autoSpaceDE w:val="0"/>
              <w:autoSpaceDN w:val="0"/>
              <w:spacing w:line="360" w:lineRule="exact"/>
              <w:jc w:val="center"/>
              <w:rPr>
                <w:rFonts w:ascii="宋体" w:hAnsi="宋体"/>
                <w:color w:val="auto"/>
                <w:kern w:val="0"/>
                <w:szCs w:val="21"/>
              </w:rPr>
            </w:pPr>
            <w:r>
              <w:rPr>
                <w:rFonts w:hint="eastAsia" w:ascii="宋体" w:hAnsi="宋体"/>
                <w:color w:val="auto"/>
                <w:kern w:val="0"/>
                <w:szCs w:val="21"/>
              </w:rPr>
              <w:t>评标价</w:t>
            </w:r>
          </w:p>
        </w:tc>
        <w:tc>
          <w:tcPr>
            <w:tcW w:w="837" w:type="dxa"/>
            <w:vAlign w:val="center"/>
          </w:tcPr>
          <w:p>
            <w:pPr>
              <w:autoSpaceDE w:val="0"/>
              <w:autoSpaceDN w:val="0"/>
              <w:spacing w:line="192" w:lineRule="exact"/>
              <w:ind w:left="2" w:right="2"/>
              <w:jc w:val="center"/>
              <w:rPr>
                <w:rFonts w:ascii="宋体" w:hAnsi="宋体"/>
                <w:color w:val="auto"/>
                <w:kern w:val="0"/>
                <w:szCs w:val="21"/>
              </w:rPr>
            </w:pPr>
            <w:r>
              <w:rPr>
                <w:rFonts w:hint="eastAsia" w:ascii="宋体" w:hAnsi="宋体"/>
                <w:color w:val="auto"/>
                <w:kern w:val="0"/>
                <w:szCs w:val="21"/>
              </w:rPr>
              <w:t>10分</w:t>
            </w:r>
          </w:p>
        </w:tc>
        <w:tc>
          <w:tcPr>
            <w:tcW w:w="7152" w:type="dxa"/>
            <w:gridSpan w:val="3"/>
            <w:vAlign w:val="center"/>
          </w:tcPr>
          <w:p>
            <w:pPr>
              <w:spacing w:line="360" w:lineRule="exact"/>
              <w:rPr>
                <w:rFonts w:ascii="宋体" w:hAnsi="宋体"/>
                <w:color w:val="auto"/>
                <w:szCs w:val="21"/>
              </w:rPr>
            </w:pPr>
            <w:r>
              <w:rPr>
                <w:rFonts w:hint="eastAsia" w:ascii="宋体" w:hAnsi="宋体"/>
                <w:color w:val="auto"/>
                <w:szCs w:val="21"/>
              </w:rPr>
              <w:t>评标价得分计算公式：</w:t>
            </w:r>
          </w:p>
          <w:p>
            <w:pPr>
              <w:spacing w:line="360" w:lineRule="exact"/>
              <w:rPr>
                <w:rFonts w:ascii="宋体" w:hAnsi="宋体"/>
                <w:color w:val="auto"/>
                <w:szCs w:val="21"/>
              </w:rPr>
            </w:pPr>
            <w:r>
              <w:rPr>
                <w:rFonts w:hint="eastAsia" w:ascii="宋体" w:hAnsi="宋体"/>
                <w:color w:val="auto"/>
                <w:szCs w:val="21"/>
              </w:rPr>
              <w:t>（1）如果投标人的评标价＞评标基准价，则评标价得分=F-偏差率×100×E1；</w:t>
            </w:r>
          </w:p>
          <w:p>
            <w:pPr>
              <w:spacing w:line="360" w:lineRule="exact"/>
              <w:rPr>
                <w:rFonts w:ascii="宋体" w:hAnsi="宋体"/>
                <w:color w:val="auto"/>
                <w:szCs w:val="21"/>
              </w:rPr>
            </w:pPr>
            <w:r>
              <w:rPr>
                <w:rFonts w:hint="eastAsia" w:ascii="宋体" w:hAnsi="宋体"/>
                <w:color w:val="auto"/>
                <w:szCs w:val="21"/>
              </w:rPr>
              <w:t>（2）如果投标人的评标价≤评标基准价，则评标价得分=F+偏差率×100×E2。</w:t>
            </w:r>
          </w:p>
          <w:p>
            <w:pPr>
              <w:pStyle w:val="5"/>
              <w:spacing w:line="360" w:lineRule="exact"/>
              <w:rPr>
                <w:rFonts w:hAnsi="宋体"/>
                <w:color w:val="auto"/>
                <w:kern w:val="2"/>
                <w:sz w:val="21"/>
                <w:szCs w:val="21"/>
              </w:rPr>
            </w:pPr>
            <w:r>
              <w:rPr>
                <w:rFonts w:hint="eastAsia" w:hAnsi="宋体"/>
                <w:color w:val="auto"/>
                <w:kern w:val="2"/>
                <w:sz w:val="21"/>
                <w:szCs w:val="21"/>
              </w:rPr>
              <w:t>其中，F=10；E1=0.2；E2=0.1；评标价最低得分为0分。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249" w:hRule="atLeast"/>
        </w:trPr>
        <w:tc>
          <w:tcPr>
            <w:tcW w:w="977" w:type="dxa"/>
            <w:vAlign w:val="center"/>
          </w:tcPr>
          <w:p>
            <w:pPr>
              <w:autoSpaceDE w:val="0"/>
              <w:autoSpaceDN w:val="0"/>
              <w:snapToGrid w:val="0"/>
              <w:ind w:right="11"/>
              <w:jc w:val="center"/>
              <w:rPr>
                <w:rFonts w:ascii="宋体" w:hAnsi="宋体"/>
                <w:color w:val="auto"/>
              </w:rPr>
            </w:pPr>
            <w:r>
              <w:rPr>
                <w:rFonts w:hint="eastAsia" w:ascii="宋体" w:hAnsi="宋体"/>
                <w:color w:val="auto"/>
              </w:rPr>
              <w:t>2.2.4(</w:t>
            </w:r>
            <w:r>
              <w:rPr>
                <w:rFonts w:ascii="宋体" w:hAnsi="宋体"/>
                <w:color w:val="auto"/>
              </w:rPr>
              <w:t>4</w:t>
            </w:r>
            <w:r>
              <w:rPr>
                <w:rFonts w:hint="eastAsia" w:ascii="宋体" w:hAnsi="宋体"/>
                <w:color w:val="auto"/>
              </w:rPr>
              <w:t>)</w:t>
            </w:r>
          </w:p>
        </w:tc>
        <w:tc>
          <w:tcPr>
            <w:tcW w:w="516" w:type="dxa"/>
            <w:vAlign w:val="center"/>
          </w:tcPr>
          <w:p>
            <w:pPr>
              <w:autoSpaceDE w:val="0"/>
              <w:autoSpaceDN w:val="0"/>
              <w:snapToGrid w:val="0"/>
              <w:ind w:right="11"/>
              <w:jc w:val="center"/>
              <w:rPr>
                <w:rFonts w:ascii="宋体" w:hAnsi="宋体" w:cs="宋体"/>
                <w:color w:val="auto"/>
                <w:kern w:val="0"/>
                <w:szCs w:val="21"/>
              </w:rPr>
            </w:pPr>
            <w:r>
              <w:rPr>
                <w:rFonts w:hint="eastAsia" w:ascii="宋体" w:hAnsi="宋体" w:cs="宋体"/>
                <w:color w:val="auto"/>
                <w:kern w:val="0"/>
                <w:szCs w:val="21"/>
              </w:rPr>
              <w:t>其他因素</w:t>
            </w:r>
          </w:p>
        </w:tc>
        <w:tc>
          <w:tcPr>
            <w:tcW w:w="837" w:type="dxa"/>
            <w:vAlign w:val="center"/>
          </w:tcPr>
          <w:p>
            <w:pPr>
              <w:autoSpaceDE w:val="0"/>
              <w:autoSpaceDN w:val="0"/>
              <w:snapToGrid w:val="0"/>
              <w:ind w:right="11"/>
              <w:jc w:val="center"/>
              <w:rPr>
                <w:rFonts w:ascii="宋体" w:hAnsi="宋体" w:cs="宋体"/>
                <w:color w:val="auto"/>
                <w:kern w:val="0"/>
                <w:szCs w:val="21"/>
              </w:rPr>
            </w:pPr>
            <w:r>
              <w:rPr>
                <w:rFonts w:hint="eastAsia" w:ascii="宋体" w:hAnsi="宋体" w:cs="宋体"/>
                <w:color w:val="auto"/>
                <w:kern w:val="0"/>
                <w:szCs w:val="21"/>
              </w:rPr>
              <w:t>业绩</w:t>
            </w:r>
          </w:p>
          <w:p>
            <w:pPr>
              <w:autoSpaceDE w:val="0"/>
              <w:autoSpaceDN w:val="0"/>
              <w:snapToGrid w:val="0"/>
              <w:ind w:right="11"/>
              <w:jc w:val="center"/>
              <w:rPr>
                <w:rFonts w:ascii="宋体" w:hAnsi="宋体" w:cs="宋体"/>
                <w:color w:val="auto"/>
                <w:kern w:val="0"/>
                <w:szCs w:val="21"/>
              </w:rPr>
            </w:pPr>
            <w:r>
              <w:rPr>
                <w:rFonts w:hint="eastAsia" w:ascii="宋体" w:hAnsi="宋体" w:cs="宋体"/>
                <w:color w:val="auto"/>
                <w:kern w:val="0"/>
                <w:szCs w:val="21"/>
              </w:rPr>
              <w:t>2</w:t>
            </w:r>
            <w:r>
              <w:rPr>
                <w:rFonts w:ascii="宋体" w:hAnsi="宋体" w:cs="宋体"/>
                <w:color w:val="auto"/>
                <w:kern w:val="0"/>
                <w:szCs w:val="21"/>
              </w:rPr>
              <w:t>5</w:t>
            </w:r>
            <w:r>
              <w:rPr>
                <w:rFonts w:hint="eastAsia" w:ascii="宋体" w:hAnsi="宋体" w:cs="宋体"/>
                <w:color w:val="auto"/>
                <w:kern w:val="0"/>
                <w:szCs w:val="21"/>
              </w:rPr>
              <w:t>分</w:t>
            </w:r>
          </w:p>
        </w:tc>
        <w:tc>
          <w:tcPr>
            <w:tcW w:w="7152" w:type="dxa"/>
            <w:gridSpan w:val="3"/>
            <w:vAlign w:val="center"/>
          </w:tcPr>
          <w:p>
            <w:pPr>
              <w:rPr>
                <w:rFonts w:ascii="宋体" w:hAnsi="宋体"/>
                <w:color w:val="auto"/>
                <w:szCs w:val="21"/>
              </w:rPr>
            </w:pPr>
            <w:r>
              <w:rPr>
                <w:rFonts w:hint="eastAsia" w:ascii="宋体" w:hAnsi="宋体"/>
                <w:color w:val="auto"/>
                <w:szCs w:val="21"/>
              </w:rPr>
              <w:t>投标人满足资格审查条件（业绩最低要求）得</w:t>
            </w:r>
            <w:r>
              <w:rPr>
                <w:rFonts w:ascii="宋体" w:hAnsi="宋体"/>
                <w:color w:val="auto"/>
                <w:szCs w:val="21"/>
              </w:rPr>
              <w:t>15</w:t>
            </w:r>
            <w:r>
              <w:rPr>
                <w:rFonts w:hint="eastAsia" w:ascii="宋体" w:hAnsi="宋体"/>
                <w:color w:val="auto"/>
                <w:szCs w:val="21"/>
              </w:rPr>
              <w:t>分。</w:t>
            </w:r>
          </w:p>
          <w:p>
            <w:pPr>
              <w:autoSpaceDE w:val="0"/>
              <w:autoSpaceDN w:val="0"/>
              <w:spacing w:line="360" w:lineRule="exact"/>
              <w:ind w:left="11" w:right="150"/>
              <w:rPr>
                <w:rFonts w:ascii="宋体" w:hAnsi="宋体"/>
                <w:color w:val="auto"/>
                <w:szCs w:val="21"/>
              </w:rPr>
            </w:pPr>
            <w:r>
              <w:rPr>
                <w:rFonts w:hint="eastAsia" w:ascii="宋体" w:hAnsi="宋体" w:cs="宋体"/>
                <w:color w:val="auto"/>
                <w:kern w:val="0"/>
                <w:szCs w:val="21"/>
              </w:rPr>
              <w:t>投标人</w:t>
            </w:r>
            <w:r>
              <w:rPr>
                <w:rFonts w:hint="eastAsia" w:ascii="宋体" w:hAnsi="宋体"/>
                <w:color w:val="auto"/>
                <w:szCs w:val="21"/>
              </w:rPr>
              <w:t>每增加一项满足资格审查条件（业绩最低要求）的业绩加</w:t>
            </w:r>
            <w:r>
              <w:rPr>
                <w:rFonts w:ascii="宋体" w:hAnsi="宋体"/>
                <w:color w:val="auto"/>
                <w:szCs w:val="21"/>
              </w:rPr>
              <w:t>5</w:t>
            </w:r>
            <w:r>
              <w:rPr>
                <w:rFonts w:hint="eastAsia" w:ascii="宋体" w:hAnsi="宋体"/>
                <w:color w:val="auto"/>
                <w:szCs w:val="21"/>
              </w:rPr>
              <w:t>分，最多加</w:t>
            </w:r>
            <w:r>
              <w:rPr>
                <w:rFonts w:ascii="宋体" w:hAnsi="宋体"/>
                <w:color w:val="auto"/>
                <w:szCs w:val="21"/>
              </w:rPr>
              <w:t>10</w:t>
            </w:r>
            <w:r>
              <w:rPr>
                <w:rFonts w:hint="eastAsia" w:ascii="宋体" w:hAnsi="宋体"/>
                <w:color w:val="auto"/>
                <w:szCs w:val="21"/>
              </w:rPr>
              <w:t>分。</w:t>
            </w:r>
          </w:p>
        </w:tc>
      </w:tr>
    </w:tbl>
    <w:p>
      <w:pPr>
        <w:rPr>
          <w:rFonts w:ascii="宋体" w:hAnsi="宋体"/>
          <w:color w:val="auto"/>
          <w:kern w:val="0"/>
          <w:sz w:val="20"/>
          <w:szCs w:val="20"/>
        </w:rPr>
      </w:pPr>
      <w:bookmarkStart w:id="7" w:name="_Hlk71130285"/>
      <w:r>
        <w:rPr>
          <w:rFonts w:hint="eastAsia" w:ascii="宋体" w:hAnsi="宋体"/>
          <w:color w:val="auto"/>
          <w:kern w:val="0"/>
          <w:sz w:val="20"/>
          <w:szCs w:val="20"/>
        </w:rPr>
        <w:t>注：1、</w:t>
      </w:r>
      <w:r>
        <w:rPr>
          <w:rFonts w:hint="eastAsia" w:ascii="宋体" w:hAnsi="宋体"/>
          <w:color w:val="auto"/>
          <w:kern w:val="0"/>
          <w:sz w:val="20"/>
          <w:szCs w:val="20"/>
          <w:lang w:eastAsia="zh-CN"/>
        </w:rPr>
        <w:t>评审总得分</w:t>
      </w:r>
      <w:r>
        <w:rPr>
          <w:rFonts w:hint="eastAsia" w:ascii="宋体" w:hAnsi="宋体"/>
          <w:color w:val="auto"/>
          <w:kern w:val="0"/>
          <w:sz w:val="20"/>
          <w:szCs w:val="20"/>
        </w:rPr>
        <w:t>应以评标委员会各成员的打分平均值确定</w:t>
      </w:r>
      <w:r>
        <w:rPr>
          <w:rFonts w:hint="eastAsia" w:ascii="宋体" w:hAnsi="宋体"/>
          <w:color w:val="auto"/>
          <w:kern w:val="0"/>
          <w:sz w:val="20"/>
          <w:szCs w:val="20"/>
          <w:lang w:eastAsia="zh-CN"/>
        </w:rPr>
        <w:t>，结果保留两位小数</w:t>
      </w:r>
      <w:r>
        <w:rPr>
          <w:rFonts w:hint="eastAsia" w:ascii="宋体" w:hAnsi="宋体"/>
          <w:color w:val="auto"/>
          <w:kern w:val="0"/>
          <w:sz w:val="20"/>
          <w:szCs w:val="20"/>
        </w:rPr>
        <w:t>。</w:t>
      </w:r>
    </w:p>
    <w:p>
      <w:pPr>
        <w:ind w:firstLine="400" w:firstLineChars="200"/>
        <w:rPr>
          <w:rFonts w:ascii="宋体" w:hAnsi="宋体"/>
          <w:color w:val="auto"/>
          <w:kern w:val="0"/>
          <w:sz w:val="20"/>
          <w:szCs w:val="20"/>
        </w:rPr>
      </w:pPr>
      <w:r>
        <w:rPr>
          <w:rFonts w:hint="eastAsia" w:ascii="宋体" w:hAnsi="宋体"/>
          <w:color w:val="auto"/>
          <w:kern w:val="0"/>
          <w:sz w:val="20"/>
          <w:szCs w:val="20"/>
        </w:rPr>
        <w:t>2、</w:t>
      </w:r>
      <w:r>
        <w:rPr>
          <w:rFonts w:hint="eastAsia" w:ascii="宋体" w:hAnsi="宋体"/>
          <w:color w:val="auto"/>
          <w:kern w:val="0"/>
          <w:sz w:val="20"/>
          <w:szCs w:val="20"/>
          <w:lang w:eastAsia="zh-CN"/>
        </w:rPr>
        <w:t>评审专家对评审因素打分保留</w:t>
      </w:r>
      <w:r>
        <w:rPr>
          <w:rFonts w:hint="eastAsia" w:ascii="宋体" w:hAnsi="宋体"/>
          <w:color w:val="auto"/>
          <w:kern w:val="0"/>
          <w:sz w:val="20"/>
          <w:szCs w:val="20"/>
          <w:lang w:val="en-US" w:eastAsia="zh-CN"/>
        </w:rPr>
        <w:t>1位小数</w:t>
      </w:r>
      <w:r>
        <w:rPr>
          <w:rFonts w:hint="eastAsia" w:ascii="宋体" w:hAnsi="宋体"/>
          <w:color w:val="auto"/>
          <w:kern w:val="0"/>
          <w:sz w:val="20"/>
          <w:szCs w:val="20"/>
        </w:rPr>
        <w:t>。</w:t>
      </w:r>
    </w:p>
    <w:p>
      <w:pPr>
        <w:ind w:firstLine="400" w:firstLineChars="200"/>
        <w:rPr>
          <w:rFonts w:ascii="宋体" w:hAnsi="宋体"/>
          <w:color w:val="auto"/>
          <w:szCs w:val="21"/>
        </w:rPr>
      </w:pPr>
      <w:r>
        <w:rPr>
          <w:rFonts w:hint="eastAsia" w:ascii="宋体" w:hAnsi="宋体"/>
          <w:color w:val="auto"/>
          <w:kern w:val="0"/>
          <w:sz w:val="20"/>
          <w:szCs w:val="20"/>
        </w:rPr>
        <w:t>3、技术建议书各评分因素细分项的细分项缺项则该项得0分</w:t>
      </w:r>
      <w:r>
        <w:rPr>
          <w:rFonts w:hint="eastAsia" w:ascii="宋体" w:hAnsi="宋体"/>
          <w:color w:val="auto"/>
          <w:kern w:val="0"/>
          <w:sz w:val="20"/>
          <w:szCs w:val="20"/>
          <w:lang w:eastAsia="zh-CN"/>
        </w:rPr>
        <w:t>，</w:t>
      </w:r>
      <w:r>
        <w:rPr>
          <w:rFonts w:hint="eastAsia" w:ascii="宋体" w:hAnsi="宋体"/>
          <w:color w:val="auto"/>
          <w:kern w:val="0"/>
          <w:sz w:val="20"/>
          <w:szCs w:val="20"/>
        </w:rPr>
        <w:t>评标价得分计算时保留两位小数。</w:t>
      </w:r>
    </w:p>
    <w:bookmarkEnd w:id="7"/>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B37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4"/>
    </w:rPr>
  </w:style>
  <w:style w:type="paragraph" w:styleId="3">
    <w:name w:val="Body Text 2"/>
    <w:basedOn w:val="1"/>
    <w:qFormat/>
    <w:uiPriority w:val="99"/>
    <w:rPr>
      <w:rFonts w:ascii="宋体" w:hAnsi="宋体"/>
      <w:sz w:val="28"/>
    </w:rPr>
  </w:style>
  <w:style w:type="paragraph" w:styleId="5">
    <w:name w:val="Plain Text"/>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用左手保证</cp:lastModifiedBy>
  <dcterms:modified xsi:type="dcterms:W3CDTF">2023-09-26T08:11:00Z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