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20" w:beforeLines="50" w:after="120" w:afterLines="50" w:line="240" w:lineRule="auto"/>
      </w:pPr>
      <w:bookmarkStart w:id="0" w:name="_Toc141780406"/>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642" w:type="dxa"/>
            <w:vAlign w:val="center"/>
          </w:tcPr>
          <w:p>
            <w:pPr>
              <w:snapToGrid w:val="0"/>
              <w:spacing w:line="440" w:lineRule="exact"/>
              <w:ind w:firstLine="420" w:firstLineChars="200"/>
              <w:rPr>
                <w:rFonts w:ascii="宋体" w:hAnsi="宋体"/>
                <w:kern w:val="0"/>
                <w:szCs w:val="21"/>
              </w:rPr>
            </w:pPr>
            <w:r>
              <w:rPr>
                <w:rFonts w:hint="eastAsia" w:ascii="宋体" w:hAnsi="宋体"/>
                <w:kern w:val="0"/>
                <w:szCs w:val="21"/>
              </w:rPr>
              <w:t>具有独立法人资格，具有有效的企业营业执照，从事工程造价咨询业务的企业，且具备实施本项目的相应专业能力。</w:t>
            </w:r>
          </w:p>
        </w:tc>
      </w:tr>
    </w:tbl>
    <w:p>
      <w:pPr>
        <w:rPr>
          <w:rFonts w:ascii="宋体" w:hAnsi="宋体"/>
          <w:sz w:val="24"/>
          <w:szCs w:val="24"/>
        </w:rPr>
      </w:pPr>
    </w:p>
    <w:p>
      <w:pPr>
        <w:rPr>
          <w:rFonts w:hint="eastAsia"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8642" w:type="dxa"/>
            <w:vAlign w:val="center"/>
          </w:tcPr>
          <w:p>
            <w:pPr>
              <w:autoSpaceDE w:val="0"/>
              <w:autoSpaceDN w:val="0"/>
              <w:adjustRightInd w:val="0"/>
              <w:spacing w:line="440" w:lineRule="exact"/>
              <w:ind w:firstLine="420" w:firstLineChars="200"/>
              <w:jc w:val="left"/>
              <w:rPr>
                <w:rFonts w:ascii="宋体" w:hAnsi="宋体"/>
                <w:kern w:val="0"/>
                <w:szCs w:val="21"/>
              </w:rPr>
            </w:pPr>
            <w:r>
              <w:rPr>
                <w:rFonts w:hint="eastAsia" w:ascii="宋体" w:hAnsi="宋体"/>
                <w:kern w:val="0"/>
                <w:szCs w:val="21"/>
              </w:rPr>
              <w:t>投标人在过去3年中（</w:t>
            </w:r>
            <w:r>
              <w:rPr>
                <w:rFonts w:ascii="宋体" w:hAnsi="宋体"/>
                <w:kern w:val="0"/>
                <w:szCs w:val="21"/>
              </w:rPr>
              <w:t>20</w:t>
            </w:r>
            <w:r>
              <w:rPr>
                <w:rFonts w:hint="eastAsia" w:ascii="宋体" w:hAnsi="宋体"/>
                <w:kern w:val="0"/>
                <w:szCs w:val="21"/>
              </w:rPr>
              <w:t>20年9月</w:t>
            </w:r>
            <w:r>
              <w:rPr>
                <w:rFonts w:ascii="宋体" w:hAnsi="宋体"/>
                <w:kern w:val="0"/>
                <w:szCs w:val="21"/>
              </w:rPr>
              <w:t>1</w:t>
            </w:r>
            <w:r>
              <w:rPr>
                <w:rFonts w:hint="eastAsia" w:ascii="宋体" w:hAnsi="宋体"/>
                <w:kern w:val="0"/>
                <w:szCs w:val="21"/>
              </w:rPr>
              <w:t>日至投标截止之日，以合同签订时间为准）承担过一项公路工程（至少包含：路面工程、隧道工程和公路机电工程）结算审计项目。</w:t>
            </w:r>
          </w:p>
          <w:p>
            <w:pPr>
              <w:autoSpaceDE w:val="0"/>
              <w:autoSpaceDN w:val="0"/>
              <w:adjustRightInd w:val="0"/>
              <w:spacing w:line="440" w:lineRule="exact"/>
              <w:ind w:firstLine="420" w:firstLineChars="200"/>
              <w:jc w:val="left"/>
              <w:rPr>
                <w:rFonts w:ascii="宋体" w:hAnsi="宋体"/>
                <w:kern w:val="0"/>
                <w:szCs w:val="21"/>
              </w:rPr>
            </w:pPr>
            <w:r>
              <w:rPr>
                <w:rFonts w:hint="eastAsia" w:ascii="宋体" w:hAnsi="宋体"/>
                <w:kern w:val="0"/>
                <w:szCs w:val="21"/>
              </w:rPr>
              <w:t>注：一项公路工程结算审计项目指一个合同或多个合同，但工程内容至少包含：路面工程、隧道工程和公路机电工程。</w:t>
            </w:r>
          </w:p>
        </w:tc>
      </w:tr>
    </w:tbl>
    <w:p>
      <w:pPr>
        <w:rPr>
          <w:rFonts w:ascii="宋体" w:hAnsi="宋体"/>
          <w:sz w:val="24"/>
          <w:szCs w:val="24"/>
        </w:rPr>
      </w:pPr>
    </w:p>
    <w:p>
      <w:pPr>
        <w:rPr>
          <w:rFonts w:hint="eastAsia"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440" w:lineRule="exact"/>
              <w:ind w:firstLine="420" w:firstLineChars="200"/>
              <w:rPr>
                <w:rFonts w:ascii="宋体" w:hAnsi="宋体"/>
                <w:szCs w:val="21"/>
              </w:rPr>
            </w:pPr>
            <w:r>
              <w:rPr>
                <w:rFonts w:hint="eastAsia" w:ascii="宋体" w:hAnsi="宋体"/>
                <w:kern w:val="0"/>
                <w:szCs w:val="21"/>
              </w:rPr>
              <w:t>投标人在过去1年中（2022年9月1日至投标截止时间）不曾在高速公路审计服务合同中违约被逐或因投标人自身的原因而使合同被解除。</w:t>
            </w:r>
          </w:p>
        </w:tc>
      </w:tr>
    </w:tbl>
    <w:p>
      <w:pPr>
        <w:rPr>
          <w:rFonts w:ascii="宋体" w:hAnsi="宋体"/>
          <w:sz w:val="24"/>
          <w:szCs w:val="24"/>
        </w:rPr>
      </w:pPr>
    </w:p>
    <w:p>
      <w:pPr>
        <w:rPr>
          <w:rFonts w:hint="eastAsia" w:ascii="宋体" w:hAnsi="宋体"/>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spacing w:line="440" w:lineRule="exact"/>
              <w:rPr>
                <w:rFonts w:ascii="宋体" w:hAnsi="宋体"/>
                <w:szCs w:val="21"/>
              </w:rPr>
            </w:pPr>
            <w:r>
              <w:rPr>
                <w:rFonts w:hint="eastAsia" w:ascii="宋体" w:hAnsi="宋体"/>
                <w:szCs w:val="21"/>
              </w:rPr>
              <w:t>一级注册造价工程师；</w:t>
            </w:r>
          </w:p>
          <w:p>
            <w:pPr>
              <w:spacing w:line="440" w:lineRule="exact"/>
              <w:rPr>
                <w:rFonts w:ascii="宋体" w:hAnsi="宋体"/>
                <w:color w:val="FF0000"/>
                <w:szCs w:val="21"/>
              </w:rPr>
            </w:pPr>
            <w:r>
              <w:rPr>
                <w:rFonts w:hint="eastAsia" w:ascii="宋体" w:hAnsi="宋体"/>
                <w:kern w:val="0"/>
                <w:szCs w:val="21"/>
              </w:rPr>
              <w:t>项目负责人在过去3年中（</w:t>
            </w:r>
            <w:r>
              <w:rPr>
                <w:rFonts w:ascii="宋体" w:hAnsi="宋体"/>
                <w:kern w:val="0"/>
                <w:szCs w:val="21"/>
              </w:rPr>
              <w:t>20</w:t>
            </w:r>
            <w:r>
              <w:rPr>
                <w:rFonts w:hint="eastAsia" w:ascii="宋体" w:hAnsi="宋体"/>
                <w:kern w:val="0"/>
                <w:szCs w:val="21"/>
              </w:rPr>
              <w:t>20年9月</w:t>
            </w:r>
            <w:r>
              <w:rPr>
                <w:rFonts w:ascii="宋体" w:hAnsi="宋体"/>
                <w:kern w:val="0"/>
                <w:szCs w:val="21"/>
              </w:rPr>
              <w:t>1</w:t>
            </w:r>
            <w:r>
              <w:rPr>
                <w:rFonts w:hint="eastAsia" w:ascii="宋体" w:hAnsi="宋体"/>
                <w:kern w:val="0"/>
                <w:szCs w:val="21"/>
              </w:rPr>
              <w:t>日至投标截止之日，以合同签订时间为准）主审过2个公路工程（路面工程或隧道工程或公路机电工程）结算审计项目。</w:t>
            </w:r>
          </w:p>
        </w:tc>
      </w:tr>
    </w:tbl>
    <w:p>
      <w:pPr>
        <w:jc w:val="center"/>
        <w:rPr>
          <w:rFonts w:ascii="宋体" w:hAnsi="宋体"/>
          <w:b/>
          <w:sz w:val="24"/>
          <w:szCs w:val="24"/>
        </w:rPr>
      </w:pPr>
    </w:p>
    <w:p>
      <w:pPr>
        <w:jc w:val="center"/>
        <w:rPr>
          <w:rFonts w:ascii="宋体" w:hAnsi="宋体"/>
          <w:b/>
          <w:sz w:val="24"/>
          <w:szCs w:val="24"/>
        </w:rPr>
      </w:pPr>
    </w:p>
    <w:p>
      <w:pPr>
        <w:jc w:val="center"/>
        <w:rPr>
          <w:rFonts w:hint="eastAsia" w:ascii="宋体" w:hAnsi="宋体"/>
          <w:b/>
          <w:sz w:val="24"/>
          <w:szCs w:val="24"/>
        </w:rPr>
      </w:pPr>
    </w:p>
    <w:p>
      <w:pPr>
        <w:jc w:val="center"/>
        <w:rPr>
          <w:rFonts w:ascii="宋体" w:hAnsi="宋体"/>
          <w:b/>
          <w:sz w:val="24"/>
          <w:szCs w:val="24"/>
        </w:rPr>
      </w:pPr>
      <w:r>
        <w:rPr>
          <w:rFonts w:hint="eastAsia" w:ascii="宋体" w:hAnsi="宋体"/>
          <w:b/>
          <w:sz w:val="24"/>
          <w:szCs w:val="24"/>
        </w:rPr>
        <w:t>附录5  资格审查条件（其他人员最低要求）</w:t>
      </w:r>
    </w:p>
    <w:p>
      <w:pPr>
        <w:jc w:val="center"/>
        <w:rPr>
          <w:rFonts w:ascii="宋体" w:hAnsi="宋体"/>
          <w:b/>
          <w:sz w:val="24"/>
          <w:szCs w:val="24"/>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300" w:type="dxa"/>
            <w:vAlign w:val="center"/>
          </w:tcPr>
          <w:p>
            <w:pPr>
              <w:jc w:val="center"/>
              <w:rPr>
                <w:rFonts w:ascii="宋体" w:hAnsi="宋体"/>
                <w:szCs w:val="21"/>
              </w:rPr>
            </w:pPr>
            <w:r>
              <w:rPr>
                <w:rFonts w:hint="eastAsia" w:ascii="宋体" w:hAnsi="宋体"/>
                <w:szCs w:val="21"/>
              </w:rPr>
              <w:t>其他人员</w:t>
            </w:r>
          </w:p>
        </w:tc>
        <w:tc>
          <w:tcPr>
            <w:tcW w:w="992" w:type="dxa"/>
            <w:vAlign w:val="center"/>
          </w:tcPr>
          <w:p>
            <w:pPr>
              <w:jc w:val="center"/>
              <w:rPr>
                <w:rFonts w:ascii="宋体" w:hAnsi="宋体"/>
                <w:szCs w:val="21"/>
              </w:rPr>
            </w:pPr>
            <w:r>
              <w:rPr>
                <w:rFonts w:hint="eastAsia" w:ascii="宋体" w:hAnsi="宋体"/>
                <w:szCs w:val="21"/>
              </w:rPr>
              <w:t>5</w:t>
            </w:r>
          </w:p>
        </w:tc>
        <w:tc>
          <w:tcPr>
            <w:tcW w:w="6379" w:type="dxa"/>
            <w:vAlign w:val="center"/>
          </w:tcPr>
          <w:p>
            <w:pPr>
              <w:spacing w:line="360" w:lineRule="exact"/>
              <w:rPr>
                <w:rFonts w:ascii="宋体" w:hAnsi="宋体"/>
                <w:szCs w:val="21"/>
              </w:rPr>
            </w:pPr>
            <w:r>
              <w:rPr>
                <w:rFonts w:hint="eastAsia" w:ascii="宋体" w:hAnsi="宋体"/>
                <w:szCs w:val="21"/>
              </w:rPr>
              <w:t>一级注册造价工程师2名，工作人员3名（其中机电工程相关专业1名、财务人员1名）。</w:t>
            </w:r>
          </w:p>
        </w:tc>
      </w:tr>
    </w:tbl>
    <w:p>
      <w:pPr>
        <w:rPr>
          <w:rFonts w:ascii="宋体" w:hAnsi="宋体"/>
          <w:sz w:val="24"/>
          <w:szCs w:val="24"/>
        </w:rPr>
      </w:pPr>
    </w:p>
    <w:p>
      <w:pPr>
        <w:pStyle w:val="2"/>
        <w:snapToGrid w:val="0"/>
        <w:spacing w:before="120" w:beforeLines="50" w:after="120" w:afterLines="50" w:line="240" w:lineRule="auto"/>
        <w:rPr>
          <w:rFonts w:ascii="宋体" w:hAnsi="宋体"/>
          <w:sz w:val="24"/>
          <w:szCs w:val="24"/>
        </w:rPr>
      </w:pPr>
      <w:r>
        <w:rPr>
          <w:rFonts w:ascii="黑体" w:eastAsia="黑体"/>
          <w:spacing w:val="-8"/>
          <w:sz w:val="24"/>
          <w:szCs w:val="24"/>
        </w:rPr>
        <w:br w:type="page"/>
      </w:r>
      <w:bookmarkStart w:id="1" w:name="_Toc141780407"/>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1"/>
    </w:p>
    <w:p>
      <w:pPr>
        <w:pStyle w:val="2"/>
        <w:snapToGrid w:val="0"/>
        <w:spacing w:before="120" w:after="120" w:line="240" w:lineRule="auto"/>
        <w:rPr>
          <w:sz w:val="24"/>
          <w:szCs w:val="24"/>
        </w:rPr>
      </w:pPr>
      <w:bookmarkStart w:id="2" w:name="_Toc66984522"/>
      <w:bookmarkStart w:id="3" w:name="_Toc138793770"/>
      <w:bookmarkStart w:id="4" w:name="_Toc65820978"/>
      <w:bookmarkStart w:id="5" w:name="_Toc66337244"/>
      <w:bookmarkStart w:id="6" w:name="_Toc141780408"/>
      <w:bookmarkStart w:id="7" w:name="_Toc65857110"/>
      <w:r>
        <w:rPr>
          <w:rFonts w:hint="eastAsia"/>
          <w:sz w:val="24"/>
          <w:szCs w:val="24"/>
        </w:rPr>
        <w:t>评标办法前附表</w:t>
      </w:r>
      <w:bookmarkEnd w:id="2"/>
      <w:bookmarkEnd w:id="3"/>
      <w:bookmarkEnd w:id="4"/>
      <w:bookmarkEnd w:id="5"/>
      <w:bookmarkEnd w:id="6"/>
      <w:bookmarkEnd w:id="7"/>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006"/>
        <w:gridCol w:w="7"/>
        <w:gridCol w:w="677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019" w:type="pct"/>
            <w:gridSpan w:val="3"/>
            <w:vAlign w:val="center"/>
          </w:tcPr>
          <w:p>
            <w:pPr>
              <w:jc w:val="center"/>
              <w:rPr>
                <w:rFonts w:ascii="Times New Roman" w:hAnsi="Times New Roman"/>
              </w:rPr>
            </w:pPr>
            <w:r>
              <w:rPr>
                <w:rFonts w:ascii="Times New Roman" w:hAnsi="Times New Roman"/>
              </w:rPr>
              <w:t>条款号</w:t>
            </w:r>
          </w:p>
        </w:tc>
        <w:tc>
          <w:tcPr>
            <w:tcW w:w="3981" w:type="pct"/>
            <w:gridSpan w:val="2"/>
            <w:vAlign w:val="center"/>
          </w:tcPr>
          <w:p>
            <w:pPr>
              <w:jc w:val="center"/>
              <w:rPr>
                <w:rFonts w:ascii="Times New Roman" w:hAnsi="Times New Roman"/>
              </w:rPr>
            </w:pPr>
            <w:r>
              <w:rPr>
                <w:rFonts w:ascii="Times New Roman" w:hAnsi="Times New Roman"/>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967" w:hRule="atLeast"/>
        </w:trPr>
        <w:tc>
          <w:tcPr>
            <w:tcW w:w="425" w:type="pct"/>
            <w:vAlign w:val="center"/>
          </w:tcPr>
          <w:p>
            <w:pPr>
              <w:jc w:val="center"/>
              <w:rPr>
                <w:rFonts w:ascii="Times New Roman" w:hAnsi="Times New Roman"/>
              </w:rPr>
            </w:pPr>
            <w:r>
              <w:rPr>
                <w:rFonts w:ascii="Times New Roman" w:hAnsi="Times New Roman"/>
              </w:rPr>
              <w:t>1</w:t>
            </w:r>
          </w:p>
        </w:tc>
        <w:tc>
          <w:tcPr>
            <w:tcW w:w="590" w:type="pct"/>
            <w:vAlign w:val="center"/>
          </w:tcPr>
          <w:p>
            <w:pPr>
              <w:jc w:val="center"/>
              <w:rPr>
                <w:rFonts w:ascii="Times New Roman" w:hAnsi="Times New Roman"/>
              </w:rPr>
            </w:pPr>
            <w:r>
              <w:rPr>
                <w:rFonts w:ascii="Times New Roman" w:hAnsi="Times New Roman"/>
              </w:rPr>
              <w:t>评标方法</w:t>
            </w:r>
          </w:p>
        </w:tc>
        <w:tc>
          <w:tcPr>
            <w:tcW w:w="3981" w:type="pct"/>
            <w:gridSpan w:val="2"/>
            <w:vAlign w:val="center"/>
          </w:tcPr>
          <w:p>
            <w:pPr>
              <w:spacing w:line="320" w:lineRule="exact"/>
              <w:ind w:firstLine="315" w:firstLineChars="150"/>
              <w:rPr>
                <w:rFonts w:ascii="Times New Roman" w:hAnsi="Times New Roman"/>
              </w:rPr>
            </w:pPr>
            <w:r>
              <w:rPr>
                <w:rFonts w:ascii="Times New Roman" w:hAnsi="Times New Roman"/>
              </w:rPr>
              <w:t>本次评标采用综合评估法。</w:t>
            </w:r>
          </w:p>
          <w:p>
            <w:pPr>
              <w:spacing w:line="320" w:lineRule="exact"/>
              <w:ind w:firstLine="315" w:firstLineChars="150"/>
              <w:rPr>
                <w:rFonts w:ascii="Times New Roman" w:hAnsi="Times New Roman"/>
              </w:rPr>
            </w:pPr>
            <w:r>
              <w:rPr>
                <w:rFonts w:ascii="Times New Roman" w:hAnsi="Times New Roman"/>
              </w:rPr>
              <w:t>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spacing w:line="320" w:lineRule="exact"/>
              <w:ind w:firstLine="315" w:firstLineChars="150"/>
              <w:rPr>
                <w:rFonts w:ascii="Times New Roman" w:hAnsi="Times New Roman"/>
              </w:rPr>
            </w:pPr>
            <w:r>
              <w:rPr>
                <w:rFonts w:ascii="Times New Roman" w:hAnsi="Times New Roman"/>
              </w:rPr>
              <w:t>（1）评标价低的投标人优先；</w:t>
            </w:r>
          </w:p>
          <w:p>
            <w:pPr>
              <w:spacing w:line="320" w:lineRule="exact"/>
              <w:ind w:firstLine="315" w:firstLineChars="150"/>
              <w:rPr>
                <w:rFonts w:ascii="Times New Roman" w:hAnsi="Times New Roman"/>
              </w:rPr>
            </w:pPr>
            <w:r>
              <w:rPr>
                <w:rFonts w:ascii="Times New Roman" w:hAnsi="Times New Roman"/>
              </w:rPr>
              <w:t>（2）满足附录2资格审查条件(业绩最低要求) 的业绩累计以数量多的优先，数量相等时以金额高的优先。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425" w:type="pct"/>
            <w:vAlign w:val="center"/>
          </w:tcPr>
          <w:p>
            <w:pPr>
              <w:jc w:val="center"/>
              <w:rPr>
                <w:rFonts w:ascii="Times New Roman" w:hAnsi="Times New Roman"/>
              </w:rPr>
            </w:pPr>
            <w:r>
              <w:rPr>
                <w:rFonts w:ascii="Times New Roman" w:hAnsi="Times New Roman"/>
              </w:rPr>
              <w:t>2.1.1</w:t>
            </w:r>
          </w:p>
          <w:p>
            <w:pPr>
              <w:jc w:val="center"/>
              <w:rPr>
                <w:rFonts w:ascii="Times New Roman" w:hAnsi="Times New Roman"/>
              </w:rPr>
            </w:pPr>
            <w:r>
              <w:rPr>
                <w:rFonts w:ascii="Times New Roman" w:hAnsi="Times New Roman"/>
              </w:rPr>
              <w:t>2.1.3</w:t>
            </w:r>
          </w:p>
        </w:tc>
        <w:tc>
          <w:tcPr>
            <w:tcW w:w="590" w:type="pct"/>
            <w:vAlign w:val="center"/>
          </w:tcPr>
          <w:p>
            <w:pPr>
              <w:jc w:val="center"/>
              <w:rPr>
                <w:rFonts w:ascii="Times New Roman" w:hAnsi="Times New Roman"/>
              </w:rPr>
            </w:pPr>
            <w:r>
              <w:rPr>
                <w:rFonts w:ascii="Times New Roman" w:hAnsi="Times New Roman"/>
              </w:rPr>
              <w:t>形式评审与响应性评审标准</w:t>
            </w:r>
          </w:p>
        </w:tc>
        <w:tc>
          <w:tcPr>
            <w:tcW w:w="3981" w:type="pct"/>
            <w:gridSpan w:val="2"/>
          </w:tcPr>
          <w:p>
            <w:pPr>
              <w:tabs>
                <w:tab w:val="left" w:pos="3060"/>
              </w:tabs>
              <w:spacing w:line="320" w:lineRule="exact"/>
              <w:rPr>
                <w:rFonts w:ascii="Times New Roman" w:hAnsi="Times New Roman"/>
                <w:b/>
                <w:szCs w:val="21"/>
              </w:rPr>
            </w:pPr>
            <w:r>
              <w:rPr>
                <w:rFonts w:ascii="Times New Roman" w:hAnsi="Times New Roman"/>
                <w:b/>
                <w:szCs w:val="21"/>
              </w:rPr>
              <w:t>第一个信封（商务及技术文件）评审标准：</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（1）投标文件按照招标文件规定的格式、内容填写，字迹清晰可辨：</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a．投标函按招标文件规定填报了招标人名称、项目名称、标段号、补遗书编号（如有）、项目负责人相关信息、服务期限等内容；</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b．投标文件组成齐全完整，内容均按规定填写。</w:t>
            </w:r>
          </w:p>
          <w:p>
            <w:pPr>
              <w:tabs>
                <w:tab w:val="left" w:pos="3060"/>
              </w:tabs>
              <w:spacing w:line="320" w:lineRule="exact"/>
              <w:ind w:firstLine="210" w:firstLineChars="100"/>
              <w:rPr>
                <w:rFonts w:ascii="Times New Roman" w:hAnsi="Times New Roman"/>
                <w:bCs/>
                <w:szCs w:val="21"/>
              </w:rPr>
            </w:pPr>
            <w:r>
              <w:rPr>
                <w:rFonts w:ascii="Times New Roman" w:hAnsi="Times New Roman"/>
                <w:bCs/>
                <w:szCs w:val="21"/>
              </w:rPr>
              <w:t>（2）投标文件上法定代表人或其授权代理人的签字、投标人的单位章盖章齐全，符合招标文件规定。</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（3）投标人按照招标文件的规定提供了投标保证金：</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a.投标保证金金额符合招标文件规定的金额，且投标保证金有效期不少于投标有效期；</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b.若投标保证金采用</w:t>
            </w:r>
            <w:r>
              <w:rPr>
                <w:rFonts w:ascii="Times New Roman" w:hAnsi="Times New Roman"/>
                <w:kern w:val="0"/>
                <w:szCs w:val="21"/>
              </w:rPr>
              <w:t>电汇或转账</w:t>
            </w:r>
            <w:r>
              <w:rPr>
                <w:rFonts w:ascii="Times New Roman" w:hAnsi="Times New Roman"/>
                <w:szCs w:val="21"/>
              </w:rPr>
              <w:t>形式提交，投标人应在递交投标文件截止时间之前，将投标保证金由投标人的基本账户转入招标人指定账户；</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d．若投标保证金采用保证保险或担保保函形式提交，投标人应满足招标文件要求。如为纸质保证保险、纸质担保保函还需在递交投标文件截止时间之前向招标人提交了纸质保证保险、纸质担保保函原件。</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（4）投标人法定代表人授权委托代理人签署投标文件的，须提交授权委托书。</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（5）投标人法定代表人亲自签署投标文件的，提供了法定代表人身份证明。</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（6）投标人未以联合体形式投标。</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（7）投标人未对本项目提出分包计划。</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（8）同一投标人在同一标段内未提交两个以上不同的投标文件。</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（9）投标文件中未出现有关投标报价的内容。</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（10）投标文件载明的招标项目完成期限未超过招标文件规定的时限。</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（11）投标文件对招标文件的实质性要求和条件作出响应。</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（12）权利义务符合招标文件规定：</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a.投标人应接受招标文件规定的风险划分原则，未提出新的风险划分办法；</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b.投标人未增加发包人的责任范围，或减少投标人义务；</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c.投标人未提出不同的支付办法；</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d.投标人对合同纠纷、事故处理办法未提出异议；</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e.投标人在投标活动中无欺诈行为；</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f.投标人未对合同条款有重要保留。</w:t>
            </w:r>
          </w:p>
          <w:p>
            <w:pPr>
              <w:tabs>
                <w:tab w:val="left" w:pos="3060"/>
              </w:tabs>
              <w:spacing w:line="320" w:lineRule="exact"/>
              <w:rPr>
                <w:rFonts w:ascii="Times New Roman" w:hAnsi="Times New Roman"/>
                <w:b/>
                <w:szCs w:val="21"/>
              </w:rPr>
            </w:pPr>
            <w:r>
              <w:rPr>
                <w:rFonts w:ascii="Times New Roman" w:hAnsi="Times New Roman"/>
                <w:b/>
                <w:szCs w:val="21"/>
              </w:rPr>
              <w:t>第二个信封（报价文件）评审标准：</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（1）投标文件按照招标文件规定的格式、内容填写，字迹清晰可辨，内容齐全完整：</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a．投标函按招标文件规定填报了招标人名称、项目名称、标段号、补遗书编号（如有）、投标价（包括大写金额和小写金额）；</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b．已标价报价清单说明（如有）文字与招标文件规定一致，未进行实质性修改和删减；</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c．投标文件组成齐全完整，内容均按规定填写。</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（3）投标报价中的报价未超过招标文件设定的最高投标限价。</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（4）投标报价中报价的大写金额能够确定具体数值。</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（5）投标人未提交两个以上不同的投标报价。</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（6）投标人未提交调价函。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006" w:hRule="atLeast"/>
        </w:trPr>
        <w:tc>
          <w:tcPr>
            <w:tcW w:w="425" w:type="pct"/>
            <w:vAlign w:val="center"/>
          </w:tcPr>
          <w:p>
            <w:pPr>
              <w:jc w:val="center"/>
              <w:rPr>
                <w:rFonts w:ascii="Times New Roman" w:hAnsi="Times New Roman"/>
              </w:rPr>
            </w:pPr>
            <w:r>
              <w:rPr>
                <w:rFonts w:ascii="Times New Roman" w:hAnsi="Times New Roman"/>
              </w:rPr>
              <w:t>2.1.2</w:t>
            </w:r>
          </w:p>
        </w:tc>
        <w:tc>
          <w:tcPr>
            <w:tcW w:w="590" w:type="pct"/>
            <w:vAlign w:val="center"/>
          </w:tcPr>
          <w:p>
            <w:pPr>
              <w:jc w:val="center"/>
              <w:rPr>
                <w:rFonts w:ascii="Times New Roman" w:hAnsi="Times New Roman"/>
              </w:rPr>
            </w:pPr>
            <w:r>
              <w:rPr>
                <w:rFonts w:ascii="Times New Roman" w:hAnsi="Times New Roman"/>
              </w:rPr>
              <w:t>资格评审标准</w:t>
            </w:r>
          </w:p>
        </w:tc>
        <w:tc>
          <w:tcPr>
            <w:tcW w:w="3981" w:type="pct"/>
            <w:gridSpan w:val="2"/>
          </w:tcPr>
          <w:p>
            <w:pPr>
              <w:tabs>
                <w:tab w:val="left" w:pos="3060"/>
              </w:tabs>
              <w:spacing w:line="320" w:lineRule="exact"/>
              <w:ind w:firstLine="105" w:firstLineChars="50"/>
              <w:rPr>
                <w:rFonts w:ascii="Times New Roman" w:hAnsi="Times New Roman"/>
                <w:szCs w:val="21"/>
              </w:rPr>
            </w:pPr>
            <w:r>
              <w:rPr>
                <w:rFonts w:ascii="Times New Roman" w:hAnsi="Times New Roman"/>
                <w:szCs w:val="21"/>
              </w:rPr>
              <w:t>（1）投标人具备有效的营业执照、组织机构代码证（三证合一的除外）、资质证书和基本账户开户许可证（或基本存款账户信息）；</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（2）投标人的资质等级符合招标文件规定；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（3）投标人的类似项目业绩符合招标文件规定；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（4）投标人的信誉符合招标文件规定；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（5）投标人的项目负责人资格符合招标文件规定；</w:t>
            </w:r>
          </w:p>
          <w:p>
            <w:pPr>
              <w:tabs>
                <w:tab w:val="left" w:pos="3060"/>
              </w:tabs>
              <w:spacing w:line="320" w:lineRule="exact"/>
              <w:ind w:firstLine="105" w:firstLineChars="50"/>
              <w:rPr>
                <w:rFonts w:ascii="Times New Roman" w:hAnsi="Times New Roman"/>
                <w:szCs w:val="21"/>
              </w:rPr>
            </w:pPr>
            <w:r>
              <w:rPr>
                <w:rFonts w:hint="eastAsia" w:ascii="Times New Roman" w:hAnsi="Times New Roman"/>
                <w:szCs w:val="21"/>
              </w:rPr>
              <w:t>（6）</w:t>
            </w:r>
            <w:r>
              <w:rPr>
                <w:rFonts w:ascii="Times New Roman" w:hAnsi="Times New Roman"/>
                <w:szCs w:val="21"/>
              </w:rPr>
              <w:t>投标人的</w:t>
            </w:r>
            <w:r>
              <w:rPr>
                <w:rFonts w:hint="eastAsia" w:ascii="Times New Roman" w:hAnsi="Times New Roman"/>
                <w:szCs w:val="21"/>
              </w:rPr>
              <w:t>其他</w:t>
            </w:r>
            <w:r>
              <w:rPr>
                <w:rFonts w:ascii="Times New Roman" w:hAnsi="Times New Roman"/>
                <w:szCs w:val="21"/>
              </w:rPr>
              <w:t>人员资格符合招标文件规定</w:t>
            </w:r>
            <w:r>
              <w:rPr>
                <w:rFonts w:hint="eastAsia" w:ascii="Times New Roman" w:hAnsi="Times New Roman"/>
                <w:szCs w:val="21"/>
              </w:rPr>
              <w:t>；</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）投标人不存在第二章“投标人须知</w:t>
            </w:r>
            <w:r>
              <w:rPr>
                <w:rFonts w:hint="eastAsia" w:ascii="Times New Roman" w:hAnsi="Times New Roman"/>
                <w:szCs w:val="21"/>
              </w:rPr>
              <w:t>前附表</w:t>
            </w:r>
            <w:r>
              <w:rPr>
                <w:rFonts w:ascii="Times New Roman" w:hAnsi="Times New Roman"/>
                <w:szCs w:val="21"/>
              </w:rPr>
              <w:t>”第</w:t>
            </w:r>
            <w:r>
              <w:rPr>
                <w:rFonts w:hint="eastAsia" w:ascii="Times New Roman" w:hAnsi="Times New Roman"/>
                <w:szCs w:val="21"/>
              </w:rPr>
              <w:t>1.4.5项的情形；</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w:t>
            </w:r>
            <w:r>
              <w:rPr>
                <w:rFonts w:hint="eastAsia" w:ascii="Times New Roman" w:hAnsi="Times New Roman"/>
                <w:szCs w:val="21"/>
              </w:rPr>
              <w:t>8</w:t>
            </w:r>
            <w:r>
              <w:rPr>
                <w:rFonts w:ascii="Times New Roman" w:hAnsi="Times New Roman"/>
                <w:szCs w:val="21"/>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425" w:type="pct"/>
            <w:vAlign w:val="center"/>
          </w:tcPr>
          <w:p>
            <w:pPr>
              <w:jc w:val="center"/>
              <w:rPr>
                <w:rFonts w:ascii="Times New Roman" w:hAnsi="Times New Roman"/>
              </w:rPr>
            </w:pPr>
            <w:r>
              <w:rPr>
                <w:rFonts w:ascii="Times New Roman" w:hAnsi="Times New Roman"/>
              </w:rPr>
              <w:t>2.2.1</w:t>
            </w:r>
          </w:p>
        </w:tc>
        <w:tc>
          <w:tcPr>
            <w:tcW w:w="590" w:type="pct"/>
            <w:vAlign w:val="center"/>
          </w:tcPr>
          <w:p>
            <w:pPr>
              <w:jc w:val="center"/>
              <w:rPr>
                <w:rFonts w:ascii="Times New Roman" w:hAnsi="Times New Roman"/>
              </w:rPr>
            </w:pPr>
            <w:r>
              <w:rPr>
                <w:rFonts w:ascii="Times New Roman" w:hAnsi="Times New Roman"/>
              </w:rPr>
              <w:t>分值构成（总分100分）</w:t>
            </w:r>
          </w:p>
        </w:tc>
        <w:tc>
          <w:tcPr>
            <w:tcW w:w="3981" w:type="pct"/>
            <w:gridSpan w:val="2"/>
            <w:vAlign w:val="center"/>
          </w:tcPr>
          <w:p>
            <w:pPr>
              <w:jc w:val="left"/>
              <w:rPr>
                <w:rFonts w:ascii="Times New Roman" w:hAnsi="Times New Roman"/>
                <w:b/>
              </w:rPr>
            </w:pPr>
            <w:r>
              <w:rPr>
                <w:rFonts w:ascii="Times New Roman" w:hAnsi="Times New Roman"/>
                <w:b/>
              </w:rPr>
              <w:t>第一个信封（商务及技术文件）评分分值构成：</w:t>
            </w:r>
          </w:p>
          <w:p>
            <w:pPr>
              <w:jc w:val="left"/>
              <w:rPr>
                <w:rFonts w:ascii="Times New Roman" w:hAnsi="Times New Roman"/>
                <w:b/>
              </w:rPr>
            </w:pPr>
            <w:r>
              <w:rPr>
                <w:rFonts w:ascii="Times New Roman" w:hAnsi="Times New Roman"/>
                <w:b/>
              </w:rPr>
              <w:t>商务及技术部分：</w:t>
            </w:r>
            <w:r>
              <w:rPr>
                <w:rFonts w:hint="eastAsia" w:ascii="Times New Roman" w:hAnsi="Times New Roman"/>
                <w:b/>
                <w:u w:val="single"/>
              </w:rPr>
              <w:t>90</w:t>
            </w:r>
            <w:r>
              <w:rPr>
                <w:rFonts w:ascii="Times New Roman" w:hAnsi="Times New Roman"/>
                <w:b/>
              </w:rPr>
              <w:t>分</w:t>
            </w:r>
          </w:p>
          <w:p>
            <w:pPr>
              <w:jc w:val="left"/>
              <w:rPr>
                <w:rFonts w:ascii="Times New Roman" w:hAnsi="Times New Roman"/>
                <w:b/>
              </w:rPr>
            </w:pPr>
          </w:p>
          <w:p>
            <w:pPr>
              <w:jc w:val="left"/>
              <w:rPr>
                <w:rFonts w:ascii="Times New Roman" w:hAnsi="Times New Roman"/>
                <w:b/>
              </w:rPr>
            </w:pPr>
            <w:r>
              <w:rPr>
                <w:rFonts w:ascii="Times New Roman" w:hAnsi="Times New Roman"/>
                <w:b/>
              </w:rPr>
              <w:t>第二个信封（报价文件）评分分值构成：</w:t>
            </w:r>
          </w:p>
          <w:p>
            <w:pPr>
              <w:jc w:val="left"/>
              <w:rPr>
                <w:rFonts w:ascii="Times New Roman" w:hAnsi="Times New Roman"/>
                <w:b/>
              </w:rPr>
            </w:pPr>
            <w:r>
              <w:rPr>
                <w:rFonts w:ascii="Times New Roman" w:hAnsi="Times New Roman"/>
                <w:b/>
              </w:rPr>
              <w:t>评标价：</w:t>
            </w:r>
            <w:r>
              <w:rPr>
                <w:rFonts w:hint="eastAsia" w:ascii="Times New Roman" w:hAnsi="Times New Roman"/>
                <w:b/>
                <w:u w:val="single"/>
              </w:rPr>
              <w:t>1</w:t>
            </w:r>
            <w:r>
              <w:rPr>
                <w:rFonts w:ascii="Times New Roman" w:hAnsi="Times New Roman"/>
                <w:b/>
                <w:u w:val="single"/>
              </w:rPr>
              <w:t>0</w:t>
            </w:r>
            <w:r>
              <w:rPr>
                <w:rFonts w:ascii="Times New Roman" w:hAnsi="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117" w:hRule="atLeast"/>
        </w:trPr>
        <w:tc>
          <w:tcPr>
            <w:tcW w:w="425" w:type="pct"/>
            <w:vAlign w:val="center"/>
          </w:tcPr>
          <w:p>
            <w:pPr>
              <w:jc w:val="center"/>
              <w:rPr>
                <w:rFonts w:ascii="Times New Roman" w:hAnsi="Times New Roman"/>
              </w:rPr>
            </w:pPr>
            <w:r>
              <w:rPr>
                <w:rFonts w:ascii="Times New Roman" w:hAnsi="Times New Roman"/>
              </w:rPr>
              <w:t>2.2.2</w:t>
            </w:r>
          </w:p>
        </w:tc>
        <w:tc>
          <w:tcPr>
            <w:tcW w:w="590" w:type="pct"/>
            <w:vAlign w:val="center"/>
          </w:tcPr>
          <w:p>
            <w:pPr>
              <w:jc w:val="center"/>
              <w:rPr>
                <w:rFonts w:ascii="Times New Roman" w:hAnsi="Times New Roman"/>
              </w:rPr>
            </w:pPr>
            <w:r>
              <w:rPr>
                <w:rFonts w:ascii="Times New Roman" w:hAnsi="Times New Roman"/>
              </w:rPr>
              <w:t>评标基准价计算方法</w:t>
            </w:r>
          </w:p>
        </w:tc>
        <w:tc>
          <w:tcPr>
            <w:tcW w:w="3981" w:type="pct"/>
            <w:gridSpan w:val="2"/>
            <w:vAlign w:val="center"/>
          </w:tcPr>
          <w:p>
            <w:pPr>
              <w:snapToGrid w:val="0"/>
              <w:spacing w:line="320" w:lineRule="exact"/>
              <w:jc w:val="left"/>
              <w:rPr>
                <w:rFonts w:ascii="Times New Roman" w:hAnsi="Times New Roman"/>
                <w:b/>
              </w:rPr>
            </w:pPr>
            <w:r>
              <w:rPr>
                <w:rFonts w:ascii="Times New Roman" w:hAnsi="Times New Roman"/>
                <w:b/>
              </w:rPr>
              <w:t>评标基准价的计算：</w:t>
            </w:r>
          </w:p>
          <w:p>
            <w:pPr>
              <w:snapToGrid w:val="0"/>
              <w:spacing w:line="320" w:lineRule="exact"/>
              <w:ind w:right="113"/>
              <w:rPr>
                <w:rFonts w:ascii="Times New Roman" w:hAnsi="Times New Roman"/>
                <w:szCs w:val="21"/>
              </w:rPr>
            </w:pPr>
            <w:r>
              <w:rPr>
                <w:rFonts w:ascii="Times New Roman" w:hAnsi="Times New Roman"/>
                <w:szCs w:val="21"/>
              </w:rPr>
              <w:t>在开标现场，招标人将当场计算并宣布评标基准价。</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（1）评标价的确定：</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评标价=投标函文字报价</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（2）评标价平均值的计算：</w:t>
            </w:r>
          </w:p>
          <w:p>
            <w:pPr>
              <w:snapToGrid w:val="0"/>
              <w:spacing w:line="320" w:lineRule="exact"/>
              <w:ind w:right="113" w:firstLine="426" w:firstLineChars="203"/>
              <w:rPr>
                <w:rFonts w:ascii="Times New Roman" w:hAnsi="Times New Roman"/>
                <w:szCs w:val="21"/>
              </w:rPr>
            </w:pPr>
            <w:r>
              <w:rPr>
                <w:rFonts w:ascii="Times New Roman" w:hAnsi="Times New Roman"/>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Times New Roman" w:hAnsi="Times New Roman"/>
                <w:szCs w:val="21"/>
              </w:rPr>
            </w:pPr>
            <w:r>
              <w:rPr>
                <w:rFonts w:ascii="Times New Roman" w:hAnsi="Times New Roman"/>
                <w:szCs w:val="21"/>
              </w:rPr>
              <w:t>（3）评标基准价的确定：</w:t>
            </w:r>
          </w:p>
          <w:p>
            <w:pPr>
              <w:snapToGrid w:val="0"/>
              <w:spacing w:line="320" w:lineRule="exact"/>
              <w:ind w:right="113" w:firstLine="426" w:firstLineChars="203"/>
              <w:rPr>
                <w:rFonts w:ascii="Times New Roman" w:hAnsi="Times New Roman"/>
                <w:szCs w:val="21"/>
              </w:rPr>
            </w:pPr>
            <w:r>
              <w:rPr>
                <w:rFonts w:ascii="Times New Roman" w:hAnsi="Times New Roman"/>
                <w:szCs w:val="21"/>
              </w:rPr>
              <w:t>将评标价平均值直接作为评标基准价（评标基准价保留小数点后两位，小数点后第三位四舍五入）。</w:t>
            </w:r>
          </w:p>
          <w:p>
            <w:pPr>
              <w:snapToGrid w:val="0"/>
              <w:spacing w:line="320" w:lineRule="exact"/>
              <w:ind w:firstLine="420" w:firstLineChars="200"/>
              <w:jc w:val="left"/>
              <w:rPr>
                <w:rFonts w:ascii="Times New Roman" w:hAnsi="Times New Roman"/>
              </w:rPr>
            </w:pPr>
            <w:r>
              <w:rPr>
                <w:rFonts w:ascii="Times New Roman" w:hAnsi="Times New Roman"/>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425" w:type="pct"/>
            <w:vAlign w:val="center"/>
          </w:tcPr>
          <w:p>
            <w:pPr>
              <w:jc w:val="center"/>
              <w:rPr>
                <w:rFonts w:ascii="Times New Roman" w:hAnsi="Times New Roman"/>
              </w:rPr>
            </w:pPr>
            <w:r>
              <w:rPr>
                <w:rFonts w:ascii="Times New Roman" w:hAnsi="Times New Roman"/>
              </w:rPr>
              <w:t>2.2.3</w:t>
            </w:r>
          </w:p>
        </w:tc>
        <w:tc>
          <w:tcPr>
            <w:tcW w:w="590" w:type="pct"/>
            <w:vAlign w:val="center"/>
          </w:tcPr>
          <w:p>
            <w:pPr>
              <w:jc w:val="center"/>
              <w:rPr>
                <w:rFonts w:ascii="Times New Roman" w:hAnsi="Times New Roman"/>
              </w:rPr>
            </w:pPr>
            <w:r>
              <w:rPr>
                <w:rFonts w:ascii="Times New Roman" w:hAnsi="Times New Roman"/>
              </w:rPr>
              <w:t>评标价的偏差率计算公式</w:t>
            </w:r>
          </w:p>
        </w:tc>
        <w:tc>
          <w:tcPr>
            <w:tcW w:w="3981" w:type="pct"/>
            <w:gridSpan w:val="2"/>
            <w:vAlign w:val="center"/>
          </w:tcPr>
          <w:p>
            <w:pPr>
              <w:spacing w:line="320" w:lineRule="exact"/>
              <w:jc w:val="left"/>
              <w:rPr>
                <w:rFonts w:ascii="Times New Roman" w:hAnsi="Times New Roman"/>
              </w:rPr>
            </w:pPr>
            <w:r>
              <w:rPr>
                <w:rFonts w:ascii="Times New Roman" w:hAnsi="Times New Roman"/>
              </w:rPr>
              <w:t>偏差率=100%×（投标人评标价-评标基准价）／评标基准价</w:t>
            </w:r>
          </w:p>
          <w:p>
            <w:pPr>
              <w:spacing w:line="320" w:lineRule="exact"/>
              <w:jc w:val="left"/>
              <w:rPr>
                <w:rFonts w:ascii="Times New Roman" w:hAnsi="Times New Roman"/>
              </w:rPr>
            </w:pPr>
            <w:r>
              <w:rPr>
                <w:rFonts w:ascii="Times New Roman" w:hAnsi="Times New Roman"/>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535" w:hRule="atLeast"/>
        </w:trPr>
        <w:tc>
          <w:tcPr>
            <w:tcW w:w="425" w:type="pct"/>
            <w:vAlign w:val="center"/>
          </w:tcPr>
          <w:p>
            <w:pPr>
              <w:jc w:val="center"/>
              <w:rPr>
                <w:rFonts w:ascii="Times New Roman" w:hAnsi="Times New Roman"/>
                <w:szCs w:val="21"/>
              </w:rPr>
            </w:pPr>
            <w:r>
              <w:rPr>
                <w:rFonts w:ascii="Times New Roman" w:hAnsi="Times New Roman"/>
              </w:rPr>
              <w:t>3.6.1</w:t>
            </w:r>
          </w:p>
        </w:tc>
        <w:tc>
          <w:tcPr>
            <w:tcW w:w="590" w:type="pct"/>
            <w:vAlign w:val="center"/>
          </w:tcPr>
          <w:p>
            <w:pPr>
              <w:adjustRightInd w:val="0"/>
              <w:snapToGrid w:val="0"/>
              <w:spacing w:line="300" w:lineRule="exact"/>
              <w:jc w:val="center"/>
              <w:rPr>
                <w:rFonts w:ascii="Times New Roman" w:hAnsi="Times New Roman"/>
              </w:rPr>
            </w:pPr>
            <w:r>
              <w:rPr>
                <w:rFonts w:ascii="Times New Roman" w:hAnsi="Times New Roman"/>
              </w:rPr>
              <w:t>信息</w:t>
            </w:r>
          </w:p>
          <w:p>
            <w:pPr>
              <w:adjustRightInd w:val="0"/>
              <w:snapToGrid w:val="0"/>
              <w:spacing w:line="300" w:lineRule="exact"/>
              <w:jc w:val="center"/>
              <w:rPr>
                <w:rFonts w:ascii="Times New Roman" w:hAnsi="Times New Roman"/>
              </w:rPr>
            </w:pPr>
            <w:r>
              <w:rPr>
                <w:rFonts w:ascii="Times New Roman" w:hAnsi="Times New Roman"/>
              </w:rPr>
              <w:t>查询</w:t>
            </w:r>
          </w:p>
        </w:tc>
        <w:tc>
          <w:tcPr>
            <w:tcW w:w="3981" w:type="pct"/>
            <w:gridSpan w:val="2"/>
            <w:vAlign w:val="center"/>
          </w:tcPr>
          <w:p>
            <w:pPr>
              <w:autoSpaceDE w:val="0"/>
              <w:autoSpaceDN w:val="0"/>
              <w:spacing w:line="320" w:lineRule="exact"/>
              <w:rPr>
                <w:rFonts w:ascii="Times New Roman" w:hAnsi="Times New Roman"/>
              </w:rPr>
            </w:pPr>
            <w:r>
              <w:rPr>
                <w:rFonts w:hint="eastAsia" w:ascii="Times New Roman" w:hAnsi="Times New Roman"/>
              </w:rPr>
              <w:t>本款修改为：</w:t>
            </w:r>
          </w:p>
          <w:p>
            <w:pPr>
              <w:autoSpaceDE w:val="0"/>
              <w:autoSpaceDN w:val="0"/>
              <w:spacing w:line="320" w:lineRule="exact"/>
              <w:rPr>
                <w:rFonts w:ascii="Times New Roman" w:hAnsi="Times New Roman"/>
              </w:rPr>
            </w:pPr>
            <w:r>
              <w:rPr>
                <w:rFonts w:hint="eastAsia" w:ascii="Times New Roman" w:hAnsi="Times New Roman"/>
              </w:rPr>
              <w:t>（1）投标人信用情况网页截图内容与在“国家企业信用信息公示系统”中严重违法失信企业名单（不含分公司）或在“信用中国”网站中失信被执行人名单、经营异常名录、重大税收违法失信主体名单、政府采购严重违法失信名单（均不含分公司）的复核结果一致。如投标人未提供相关网页截图或所附截图与复核结果不一致，评标委员会应否决其投标。</w:t>
            </w:r>
          </w:p>
          <w:p>
            <w:pPr>
              <w:autoSpaceDE w:val="0"/>
              <w:autoSpaceDN w:val="0"/>
              <w:spacing w:line="320" w:lineRule="exact"/>
              <w:rPr>
                <w:rFonts w:ascii="Times New Roman" w:hAnsi="Times New Roman"/>
              </w:rPr>
            </w:pPr>
            <w:r>
              <w:rPr>
                <w:rFonts w:hint="eastAsia" w:ascii="Times New Roman" w:hAnsi="Times New Roman"/>
              </w:rPr>
              <w:t>（2）评标委员会在评标时按照投标人提供的验证方式对银行保函（电子）、电子保函或电子保证保险进行验证。如投标人未提供银行保函（电子）、电子保函或电子保证保险的验证方式，或根据提供的验证方式无法核实的，评标委员会应否决其投标。</w:t>
            </w:r>
          </w:p>
          <w:p>
            <w:pPr>
              <w:autoSpaceDE w:val="0"/>
              <w:autoSpaceDN w:val="0"/>
              <w:spacing w:line="320" w:lineRule="exact"/>
              <w:ind w:firstLine="420" w:firstLineChars="200"/>
              <w:rPr>
                <w:rFonts w:ascii="Times New Roman" w:hAnsi="Times New Roman"/>
              </w:rPr>
            </w:pPr>
            <w:r>
              <w:rPr>
                <w:rFonts w:hint="eastAsia" w:ascii="Times New Roman" w:hAnsi="Times New Roman"/>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291" w:hRule="atLeast"/>
        </w:trPr>
        <w:tc>
          <w:tcPr>
            <w:tcW w:w="425" w:type="pct"/>
            <w:vAlign w:val="center"/>
          </w:tcPr>
          <w:p>
            <w:pPr>
              <w:jc w:val="center"/>
              <w:rPr>
                <w:rFonts w:ascii="Times New Roman" w:hAnsi="Times New Roman"/>
              </w:rPr>
            </w:pPr>
            <w:r>
              <w:rPr>
                <w:rFonts w:ascii="Times New Roman" w:hAnsi="Times New Roman"/>
              </w:rPr>
              <w:t>3.9.1</w:t>
            </w:r>
          </w:p>
        </w:tc>
        <w:tc>
          <w:tcPr>
            <w:tcW w:w="590" w:type="pct"/>
            <w:vAlign w:val="center"/>
          </w:tcPr>
          <w:p>
            <w:pPr>
              <w:ind w:left="-31" w:leftChars="-15" w:right="-77"/>
              <w:jc w:val="center"/>
              <w:rPr>
                <w:rFonts w:ascii="Times New Roman" w:hAnsi="Times New Roman"/>
                <w:szCs w:val="21"/>
              </w:rPr>
            </w:pPr>
            <w:r>
              <w:rPr>
                <w:rFonts w:ascii="Times New Roman" w:hAnsi="Times New Roman"/>
                <w:szCs w:val="21"/>
              </w:rPr>
              <w:t>评标结果</w:t>
            </w:r>
          </w:p>
        </w:tc>
        <w:tc>
          <w:tcPr>
            <w:tcW w:w="3981" w:type="pct"/>
            <w:gridSpan w:val="2"/>
            <w:vAlign w:val="center"/>
          </w:tcPr>
          <w:p>
            <w:pPr>
              <w:spacing w:line="340" w:lineRule="exact"/>
              <w:ind w:right="113" w:firstLine="426" w:firstLineChars="203"/>
              <w:rPr>
                <w:rFonts w:ascii="Times New Roman" w:hAnsi="Times New Roman"/>
                <w:szCs w:val="21"/>
              </w:rPr>
            </w:pPr>
            <w:r>
              <w:rPr>
                <w:rFonts w:ascii="Times New Roman" w:hAnsi="Times New Roman"/>
                <w:szCs w:val="21"/>
              </w:rPr>
              <w:t>本款补充：</w:t>
            </w:r>
          </w:p>
          <w:p>
            <w:pPr>
              <w:spacing w:line="340" w:lineRule="exact"/>
              <w:ind w:right="113" w:firstLine="426" w:firstLineChars="203"/>
              <w:rPr>
                <w:rFonts w:ascii="Times New Roman" w:hAnsi="Times New Roman"/>
                <w:szCs w:val="21"/>
              </w:rPr>
            </w:pPr>
            <w:r>
              <w:rPr>
                <w:rFonts w:ascii="Times New Roman" w:hAnsi="Times New Roman"/>
                <w:bCs/>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按照评标办法前附表“1.评标办法”的规定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5"/>
            <w:vAlign w:val="center"/>
          </w:tcPr>
          <w:p>
            <w:pPr>
              <w:spacing w:line="340" w:lineRule="exact"/>
              <w:ind w:right="113"/>
              <w:rPr>
                <w:rFonts w:ascii="Times New Roman" w:hAnsi="Times New Roman"/>
                <w:bCs/>
                <w:szCs w:val="21"/>
              </w:rPr>
            </w:pPr>
            <w:r>
              <w:rPr>
                <w:rFonts w:ascii="Times New Roman" w:hAnsi="Times New Roman"/>
                <w:szCs w:val="21"/>
              </w:rPr>
              <w:t>需要补充的其他内容：</w:t>
            </w:r>
            <w:r>
              <w:rPr>
                <w:rFonts w:hint="eastAsia" w:ascii="Times New Roman" w:hAnsi="Times New Roman"/>
                <w:szCs w:val="21"/>
              </w:rPr>
              <w:t>已在“河北高速公路集团有限公司2023年养护工程专项审计项目” 1标段、2标段、3标段获得中标资格的投标人参加本标段投标的，不再被推荐为中标候选人。</w:t>
            </w:r>
          </w:p>
        </w:tc>
      </w:tr>
    </w:tbl>
    <w:p/>
    <w:p>
      <w:pPr>
        <w:jc w:val="right"/>
      </w:pPr>
      <w:r>
        <w:br w:type="page"/>
      </w:r>
      <w:r>
        <w:rPr>
          <w:rFonts w:hint="eastAsia"/>
        </w:rPr>
        <w:t>续上表</w:t>
      </w:r>
    </w:p>
    <w:tbl>
      <w:tblPr>
        <w:tblStyle w:val="4"/>
        <w:tblW w:w="91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709"/>
        <w:gridCol w:w="4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jc w:val="center"/>
        </w:trPr>
        <w:tc>
          <w:tcPr>
            <w:tcW w:w="977" w:type="dxa"/>
            <w:vAlign w:val="center"/>
          </w:tcPr>
          <w:p>
            <w:pPr>
              <w:autoSpaceDE w:val="0"/>
              <w:autoSpaceDN w:val="0"/>
              <w:spacing w:line="440" w:lineRule="exact"/>
              <w:ind w:right="11"/>
              <w:jc w:val="center"/>
              <w:rPr>
                <w:rFonts w:ascii="Times New Roman" w:hAnsi="Times New Roman"/>
                <w:b/>
                <w:kern w:val="0"/>
                <w:szCs w:val="21"/>
              </w:rPr>
            </w:pPr>
            <w:bookmarkStart w:id="8" w:name="_Hlk71130285"/>
            <w:r>
              <w:rPr>
                <w:rFonts w:ascii="Times New Roman" w:hAnsi="Times New Roman"/>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Times New Roman" w:hAnsi="Times New Roman"/>
                <w:b/>
                <w:kern w:val="0"/>
                <w:szCs w:val="21"/>
              </w:rPr>
            </w:pPr>
            <w:r>
              <w:rPr>
                <w:rFonts w:ascii="Times New Roman" w:hAnsi="Times New Roman"/>
                <w:b/>
                <w:kern w:val="0"/>
                <w:szCs w:val="21"/>
              </w:rPr>
              <w:t>评审因素与权重分值</w:t>
            </w:r>
          </w:p>
        </w:tc>
        <w:tc>
          <w:tcPr>
            <w:tcW w:w="4677" w:type="dxa"/>
            <w:vMerge w:val="restart"/>
            <w:tcBorders>
              <w:left w:val="single" w:color="auto" w:sz="4" w:space="0"/>
            </w:tcBorders>
            <w:vAlign w:val="center"/>
          </w:tcPr>
          <w:p>
            <w:pPr>
              <w:autoSpaceDE w:val="0"/>
              <w:autoSpaceDN w:val="0"/>
              <w:spacing w:line="440" w:lineRule="exact"/>
              <w:ind w:right="11"/>
              <w:jc w:val="center"/>
              <w:rPr>
                <w:rFonts w:ascii="Times New Roman" w:hAnsi="Times New Roman"/>
                <w:b/>
                <w:kern w:val="0"/>
                <w:szCs w:val="21"/>
              </w:rPr>
            </w:pPr>
            <w:r>
              <w:rPr>
                <w:rFonts w:ascii="Times New Roman" w:hAnsi="Times New Roman"/>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jc w:val="center"/>
        </w:trPr>
        <w:tc>
          <w:tcPr>
            <w:tcW w:w="977" w:type="dxa"/>
            <w:vMerge w:val="restart"/>
            <w:vAlign w:val="center"/>
          </w:tcPr>
          <w:p>
            <w:pPr>
              <w:autoSpaceDE w:val="0"/>
              <w:autoSpaceDN w:val="0"/>
              <w:snapToGrid w:val="0"/>
              <w:ind w:right="11"/>
              <w:jc w:val="center"/>
              <w:rPr>
                <w:rFonts w:ascii="Times New Roman" w:hAnsi="Times New Roman"/>
                <w:kern w:val="0"/>
                <w:szCs w:val="21"/>
              </w:rPr>
            </w:pPr>
            <w:r>
              <w:rPr>
                <w:rFonts w:ascii="Times New Roman" w:hAnsi="Times New Roman"/>
              </w:rPr>
              <w:t>2.2.4(1)</w:t>
            </w:r>
          </w:p>
        </w:tc>
        <w:tc>
          <w:tcPr>
            <w:tcW w:w="516" w:type="dxa"/>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评分</w:t>
            </w:r>
          </w:p>
          <w:p>
            <w:pPr>
              <w:autoSpaceDE w:val="0"/>
              <w:autoSpaceDN w:val="0"/>
              <w:snapToGrid w:val="0"/>
              <w:ind w:right="11"/>
              <w:jc w:val="center"/>
              <w:rPr>
                <w:rFonts w:ascii="Times New Roman" w:hAnsi="Times New Roman"/>
                <w:kern w:val="0"/>
                <w:szCs w:val="21"/>
              </w:rPr>
            </w:pPr>
            <w:r>
              <w:rPr>
                <w:rFonts w:ascii="Times New Roman" w:hAnsi="Times New Roman"/>
                <w:kern w:val="0"/>
                <w:szCs w:val="21"/>
              </w:rPr>
              <w:t>因素</w:t>
            </w:r>
          </w:p>
        </w:tc>
        <w:tc>
          <w:tcPr>
            <w:tcW w:w="837" w:type="dxa"/>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各评分因素</w:t>
            </w:r>
          </w:p>
          <w:p>
            <w:pPr>
              <w:autoSpaceDE w:val="0"/>
              <w:autoSpaceDN w:val="0"/>
              <w:snapToGrid w:val="0"/>
              <w:ind w:right="11"/>
              <w:jc w:val="center"/>
              <w:rPr>
                <w:rFonts w:ascii="Times New Roman" w:hAnsi="Times New Roman"/>
                <w:kern w:val="0"/>
                <w:szCs w:val="21"/>
              </w:rPr>
            </w:pPr>
            <w:r>
              <w:rPr>
                <w:rFonts w:ascii="Times New Roman" w:hAnsi="Times New Roman"/>
                <w:kern w:val="0"/>
                <w:szCs w:val="21"/>
              </w:rPr>
              <w:t>细分项</w:t>
            </w:r>
          </w:p>
        </w:tc>
        <w:tc>
          <w:tcPr>
            <w:tcW w:w="709" w:type="dxa"/>
            <w:tcBorders>
              <w:left w:val="single" w:color="auto" w:sz="4" w:space="0"/>
              <w:right w:val="single" w:color="auto" w:sz="4" w:space="0"/>
            </w:tcBorders>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分值</w:t>
            </w:r>
          </w:p>
        </w:tc>
        <w:tc>
          <w:tcPr>
            <w:tcW w:w="4677" w:type="dxa"/>
            <w:vMerge w:val="continue"/>
            <w:tcBorders>
              <w:left w:val="single" w:color="auto" w:sz="4" w:space="0"/>
              <w:bottom w:val="single" w:color="auto" w:sz="4" w:space="0"/>
            </w:tcBorders>
            <w:vAlign w:val="center"/>
          </w:tcPr>
          <w:p>
            <w:pPr>
              <w:autoSpaceDE w:val="0"/>
              <w:autoSpaceDN w:val="0"/>
              <w:snapToGrid w:val="0"/>
              <w:ind w:right="11"/>
              <w:jc w:val="center"/>
              <w:rPr>
                <w:rFonts w:ascii="Times New Roman" w:hAnsi="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06"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restart"/>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商务及技术部分</w:t>
            </w:r>
          </w:p>
        </w:tc>
        <w:tc>
          <w:tcPr>
            <w:tcW w:w="837" w:type="dxa"/>
            <w:vMerge w:val="restart"/>
            <w:vAlign w:val="center"/>
          </w:tcPr>
          <w:p>
            <w:pPr>
              <w:autoSpaceDE w:val="0"/>
              <w:autoSpaceDN w:val="0"/>
              <w:snapToGrid w:val="0"/>
              <w:ind w:right="11"/>
              <w:jc w:val="center"/>
              <w:rPr>
                <w:rFonts w:ascii="Times New Roman" w:hAnsi="Times New Roman"/>
                <w:kern w:val="0"/>
                <w:szCs w:val="21"/>
              </w:rPr>
            </w:pPr>
            <w:r>
              <w:rPr>
                <w:rFonts w:hint="eastAsia" w:ascii="Times New Roman" w:hAnsi="Times New Roman"/>
                <w:kern w:val="0"/>
                <w:szCs w:val="21"/>
              </w:rPr>
              <w:t>9</w:t>
            </w:r>
            <w:r>
              <w:rPr>
                <w:rFonts w:ascii="Times New Roman" w:hAnsi="Times New Roman"/>
                <w:kern w:val="0"/>
                <w:szCs w:val="21"/>
              </w:rPr>
              <w:t>0分</w:t>
            </w: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sz w:val="21"/>
                <w:szCs w:val="21"/>
              </w:rPr>
              <w:t>业绩</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kern w:val="2"/>
                <w:sz w:val="21"/>
                <w:szCs w:val="21"/>
              </w:rPr>
            </w:pPr>
            <w:r>
              <w:rPr>
                <w:rFonts w:hint="eastAsia" w:ascii="Times New Roman" w:hAnsi="Times New Roman"/>
                <w:sz w:val="21"/>
                <w:szCs w:val="21"/>
              </w:rPr>
              <w:t>5</w:t>
            </w:r>
            <w:r>
              <w:rPr>
                <w:rFonts w:ascii="Times New Roman" w:hAnsi="Times New Roman"/>
                <w:sz w:val="21"/>
                <w:szCs w:val="21"/>
              </w:rPr>
              <w:t>分</w:t>
            </w:r>
          </w:p>
        </w:tc>
        <w:tc>
          <w:tcPr>
            <w:tcW w:w="4677" w:type="dxa"/>
            <w:tcBorders>
              <w:top w:val="single" w:color="auto" w:sz="4" w:space="0"/>
              <w:left w:val="single" w:color="auto" w:sz="4" w:space="0"/>
            </w:tcBorders>
            <w:vAlign w:val="center"/>
          </w:tcPr>
          <w:p>
            <w:pPr>
              <w:pStyle w:val="3"/>
              <w:spacing w:line="360" w:lineRule="exact"/>
              <w:rPr>
                <w:rFonts w:ascii="Times New Roman" w:hAnsi="Times New Roman"/>
                <w:szCs w:val="21"/>
              </w:rPr>
            </w:pPr>
            <w:r>
              <w:rPr>
                <w:rFonts w:ascii="Times New Roman" w:hAnsi="Times New Roman"/>
                <w:kern w:val="2"/>
                <w:sz w:val="21"/>
                <w:szCs w:val="24"/>
              </w:rPr>
              <w:t>投标人满足“附录2  资格审查条件（业绩最低要求）”</w:t>
            </w:r>
            <w:r>
              <w:rPr>
                <w:rFonts w:hint="eastAsia" w:ascii="Times New Roman" w:hAnsi="Times New Roman"/>
                <w:kern w:val="2"/>
                <w:sz w:val="21"/>
                <w:szCs w:val="24"/>
              </w:rPr>
              <w:t>得3分</w:t>
            </w:r>
            <w:r>
              <w:rPr>
                <w:rFonts w:ascii="Times New Roman" w:hAnsi="Times New Roman"/>
                <w:kern w:val="2"/>
                <w:sz w:val="21"/>
                <w:szCs w:val="24"/>
              </w:rPr>
              <w:t>，每增加</w:t>
            </w:r>
            <w:r>
              <w:rPr>
                <w:rFonts w:ascii="Times New Roman" w:hAnsi="Times New Roman"/>
                <w:szCs w:val="21"/>
              </w:rPr>
              <w:t>1项满足资格审查条件的业绩加</w:t>
            </w:r>
            <w:r>
              <w:rPr>
                <w:rFonts w:hint="eastAsia" w:ascii="Times New Roman" w:hAnsi="Times New Roman"/>
                <w:szCs w:val="21"/>
              </w:rPr>
              <w:t>1分，最多加2分。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2"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sz w:val="21"/>
                <w:szCs w:val="21"/>
              </w:rPr>
            </w:pPr>
            <w:r>
              <w:rPr>
                <w:rFonts w:ascii="Times New Roman" w:hAnsi="Times New Roman"/>
                <w:sz w:val="21"/>
                <w:szCs w:val="21"/>
              </w:rPr>
              <w:t>项目负责人</w:t>
            </w:r>
          </w:p>
          <w:p>
            <w:pPr>
              <w:pStyle w:val="3"/>
              <w:snapToGrid w:val="0"/>
              <w:jc w:val="center"/>
              <w:rPr>
                <w:rFonts w:ascii="Times New Roman" w:hAnsi="Times New Roman"/>
                <w:sz w:val="21"/>
                <w:szCs w:val="21"/>
              </w:rPr>
            </w:pPr>
            <w:r>
              <w:rPr>
                <w:rFonts w:ascii="Times New Roman" w:hAnsi="Times New Roman"/>
                <w:sz w:val="21"/>
                <w:szCs w:val="21"/>
              </w:rPr>
              <w:t>业绩</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sz w:val="21"/>
                <w:szCs w:val="21"/>
              </w:rPr>
            </w:pPr>
            <w:r>
              <w:rPr>
                <w:rFonts w:hint="eastAsia" w:ascii="Times New Roman" w:hAnsi="Times New Roman"/>
                <w:sz w:val="21"/>
                <w:szCs w:val="21"/>
              </w:rPr>
              <w:t>5分</w:t>
            </w:r>
          </w:p>
        </w:tc>
        <w:tc>
          <w:tcPr>
            <w:tcW w:w="4677" w:type="dxa"/>
            <w:tcBorders>
              <w:top w:val="single" w:color="auto" w:sz="4" w:space="0"/>
              <w:left w:val="single" w:color="auto" w:sz="4" w:space="0"/>
            </w:tcBorders>
            <w:vAlign w:val="center"/>
          </w:tcPr>
          <w:p>
            <w:pPr>
              <w:pStyle w:val="3"/>
              <w:spacing w:line="360" w:lineRule="exact"/>
              <w:rPr>
                <w:rFonts w:ascii="Times New Roman" w:hAnsi="Times New Roman"/>
                <w:kern w:val="2"/>
                <w:sz w:val="21"/>
                <w:szCs w:val="24"/>
              </w:rPr>
            </w:pPr>
            <w:r>
              <w:rPr>
                <w:rFonts w:ascii="Times New Roman" w:hAnsi="Times New Roman"/>
                <w:sz w:val="21"/>
                <w:szCs w:val="21"/>
              </w:rPr>
              <w:t>项目负责人</w:t>
            </w:r>
            <w:r>
              <w:rPr>
                <w:rFonts w:ascii="Times New Roman" w:hAnsi="Times New Roman"/>
                <w:kern w:val="2"/>
                <w:sz w:val="21"/>
                <w:szCs w:val="24"/>
              </w:rPr>
              <w:t>满足“附录</w:t>
            </w:r>
            <w:r>
              <w:rPr>
                <w:rFonts w:hint="eastAsia" w:ascii="Times New Roman" w:hAnsi="Times New Roman"/>
                <w:kern w:val="2"/>
                <w:sz w:val="21"/>
                <w:szCs w:val="24"/>
              </w:rPr>
              <w:t>4</w:t>
            </w:r>
            <w:r>
              <w:rPr>
                <w:rFonts w:ascii="Times New Roman" w:hAnsi="Times New Roman"/>
                <w:kern w:val="2"/>
                <w:sz w:val="21"/>
                <w:szCs w:val="24"/>
              </w:rPr>
              <w:t>资格审查条件（项目负责人最低要求）”</w:t>
            </w:r>
            <w:r>
              <w:rPr>
                <w:rFonts w:hint="eastAsia" w:ascii="Times New Roman" w:hAnsi="Times New Roman"/>
                <w:kern w:val="2"/>
                <w:sz w:val="21"/>
                <w:szCs w:val="24"/>
              </w:rPr>
              <w:t>得3分。</w:t>
            </w:r>
          </w:p>
          <w:p>
            <w:pPr>
              <w:pStyle w:val="3"/>
              <w:spacing w:line="360" w:lineRule="exact"/>
              <w:rPr>
                <w:rFonts w:ascii="Times New Roman" w:hAnsi="Times New Roman"/>
                <w:kern w:val="2"/>
                <w:sz w:val="21"/>
                <w:szCs w:val="24"/>
              </w:rPr>
            </w:pPr>
            <w:r>
              <w:rPr>
                <w:rFonts w:ascii="Times New Roman" w:hAnsi="Times New Roman"/>
                <w:sz w:val="21"/>
                <w:szCs w:val="21"/>
              </w:rPr>
              <w:t>项目负责人</w:t>
            </w:r>
            <w:r>
              <w:rPr>
                <w:rFonts w:ascii="Times New Roman" w:hAnsi="Times New Roman"/>
                <w:kern w:val="2"/>
                <w:sz w:val="21"/>
                <w:szCs w:val="24"/>
              </w:rPr>
              <w:t>每增加</w:t>
            </w:r>
            <w:r>
              <w:rPr>
                <w:rFonts w:hint="eastAsia" w:ascii="Times New Roman" w:hAnsi="Times New Roman"/>
                <w:kern w:val="2"/>
                <w:sz w:val="21"/>
                <w:szCs w:val="24"/>
              </w:rPr>
              <w:t>1个“主审</w:t>
            </w:r>
            <w:r>
              <w:rPr>
                <w:rFonts w:hint="eastAsia" w:hAnsi="宋体"/>
                <w:szCs w:val="21"/>
              </w:rPr>
              <w:t>公路工程（路面工程或隧道工程或公路机电工程）结算审计</w:t>
            </w:r>
            <w:r>
              <w:rPr>
                <w:rFonts w:hint="eastAsia" w:ascii="Times New Roman" w:hAnsi="Times New Roman"/>
                <w:kern w:val="2"/>
                <w:sz w:val="21"/>
                <w:szCs w:val="24"/>
              </w:rPr>
              <w:t>”项目业绩加1分，最多加2分。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65"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sz w:val="21"/>
                <w:szCs w:val="21"/>
              </w:rPr>
            </w:pPr>
            <w:r>
              <w:rPr>
                <w:rFonts w:ascii="Times New Roman" w:hAnsi="Times New Roman"/>
                <w:sz w:val="21"/>
                <w:szCs w:val="21"/>
              </w:rPr>
              <w:t>总体方案</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kern w:val="2"/>
                <w:sz w:val="21"/>
                <w:szCs w:val="21"/>
              </w:rPr>
            </w:pPr>
            <w:r>
              <w:rPr>
                <w:rFonts w:hint="eastAsia" w:ascii="Times New Roman" w:hAnsi="Times New Roman"/>
                <w:kern w:val="2"/>
                <w:sz w:val="21"/>
                <w:szCs w:val="21"/>
              </w:rPr>
              <w:t>20</w:t>
            </w:r>
            <w:r>
              <w:rPr>
                <w:rFonts w:ascii="Times New Roman" w:hAnsi="Times New Roman"/>
                <w:kern w:val="2"/>
                <w:sz w:val="21"/>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kern w:val="2"/>
                <w:sz w:val="21"/>
                <w:szCs w:val="21"/>
              </w:rPr>
            </w:pPr>
            <w:r>
              <w:rPr>
                <w:rFonts w:ascii="Times New Roman" w:hAnsi="Times New Roman"/>
                <w:kern w:val="2"/>
                <w:sz w:val="21"/>
                <w:szCs w:val="21"/>
              </w:rPr>
              <w:t>审计工作的总体规划合理、清晰、详细、全面，具有建设性意见及措施，得</w:t>
            </w:r>
            <w:r>
              <w:rPr>
                <w:rFonts w:hint="eastAsia" w:ascii="Times New Roman" w:hAnsi="Times New Roman"/>
                <w:kern w:val="2"/>
                <w:sz w:val="21"/>
                <w:szCs w:val="21"/>
              </w:rPr>
              <w:t>16</w:t>
            </w:r>
            <w:r>
              <w:rPr>
                <w:rFonts w:ascii="Times New Roman" w:hAnsi="Times New Roman"/>
                <w:kern w:val="2"/>
                <w:sz w:val="21"/>
                <w:szCs w:val="21"/>
              </w:rPr>
              <w:t>.</w:t>
            </w:r>
            <w:r>
              <w:rPr>
                <w:rFonts w:hint="eastAsia" w:ascii="Times New Roman" w:hAnsi="Times New Roman"/>
                <w:kern w:val="2"/>
                <w:sz w:val="21"/>
                <w:szCs w:val="21"/>
              </w:rPr>
              <w:t>0（不含）</w:t>
            </w:r>
            <w:r>
              <w:rPr>
                <w:rFonts w:ascii="Times New Roman" w:hAnsi="Times New Roman"/>
                <w:kern w:val="2"/>
                <w:sz w:val="21"/>
                <w:szCs w:val="21"/>
              </w:rPr>
              <w:t>-</w:t>
            </w:r>
            <w:r>
              <w:rPr>
                <w:rFonts w:hint="eastAsia" w:ascii="Times New Roman" w:hAnsi="Times New Roman"/>
                <w:kern w:val="2"/>
                <w:sz w:val="21"/>
                <w:szCs w:val="21"/>
              </w:rPr>
              <w:t>20（含）</w:t>
            </w:r>
            <w:r>
              <w:rPr>
                <w:rFonts w:ascii="Times New Roman" w:hAnsi="Times New Roman"/>
                <w:kern w:val="2"/>
                <w:sz w:val="21"/>
                <w:szCs w:val="21"/>
              </w:rPr>
              <w:t>分；较合理、清晰、详细、全面，得12.0（不含）-</w:t>
            </w:r>
            <w:r>
              <w:rPr>
                <w:rFonts w:hint="eastAsia" w:ascii="Times New Roman" w:hAnsi="Times New Roman"/>
                <w:kern w:val="2"/>
                <w:sz w:val="21"/>
                <w:szCs w:val="21"/>
              </w:rPr>
              <w:t>16</w:t>
            </w:r>
            <w:r>
              <w:rPr>
                <w:rFonts w:ascii="Times New Roman" w:hAnsi="Times New Roman"/>
                <w:kern w:val="2"/>
                <w:sz w:val="21"/>
                <w:szCs w:val="21"/>
              </w:rPr>
              <w:t>.0（含）分；一般，得12</w:t>
            </w:r>
            <w:r>
              <w:rPr>
                <w:rFonts w:hint="eastAsia" w:ascii="Times New Roman" w:hAnsi="Times New Roman"/>
                <w:kern w:val="2"/>
                <w:sz w:val="21"/>
                <w:szCs w:val="21"/>
              </w:rPr>
              <w:t>.0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5"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sz w:val="21"/>
                <w:szCs w:val="21"/>
              </w:rPr>
              <w:t>审计范围、内容、步骤及程序</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kern w:val="2"/>
                <w:sz w:val="21"/>
                <w:szCs w:val="21"/>
              </w:rPr>
            </w:pPr>
            <w:r>
              <w:rPr>
                <w:rFonts w:ascii="Times New Roman" w:hAnsi="Times New Roman"/>
                <w:kern w:val="2"/>
                <w:sz w:val="21"/>
                <w:szCs w:val="21"/>
              </w:rPr>
              <w:t>1</w:t>
            </w:r>
            <w:r>
              <w:rPr>
                <w:rFonts w:hint="eastAsia" w:ascii="Times New Roman" w:hAnsi="Times New Roman"/>
                <w:kern w:val="2"/>
                <w:sz w:val="21"/>
                <w:szCs w:val="21"/>
              </w:rPr>
              <w:t>5</w:t>
            </w:r>
            <w:r>
              <w:rPr>
                <w:rFonts w:ascii="Times New Roman" w:hAnsi="Times New Roman"/>
                <w:kern w:val="2"/>
                <w:sz w:val="21"/>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sz w:val="21"/>
                <w:szCs w:val="21"/>
              </w:rPr>
            </w:pPr>
            <w:r>
              <w:rPr>
                <w:rFonts w:ascii="Times New Roman" w:hAnsi="Times New Roman"/>
                <w:sz w:val="21"/>
                <w:szCs w:val="21"/>
              </w:rPr>
              <w:t>审计范围、内容、步骤及程序明确、合理、可行性强，得</w:t>
            </w:r>
            <w:r>
              <w:rPr>
                <w:rFonts w:hint="eastAsia" w:ascii="Times New Roman" w:hAnsi="Times New Roman"/>
                <w:kern w:val="2"/>
                <w:sz w:val="21"/>
                <w:szCs w:val="21"/>
              </w:rPr>
              <w:t>12.0</w:t>
            </w:r>
            <w:r>
              <w:rPr>
                <w:rFonts w:ascii="Times New Roman" w:hAnsi="Times New Roman"/>
                <w:kern w:val="2"/>
                <w:sz w:val="21"/>
                <w:szCs w:val="21"/>
              </w:rPr>
              <w:t>（不含）-1</w:t>
            </w:r>
            <w:r>
              <w:rPr>
                <w:rFonts w:hint="eastAsia" w:ascii="Times New Roman" w:hAnsi="Times New Roman"/>
                <w:kern w:val="2"/>
                <w:sz w:val="21"/>
                <w:szCs w:val="21"/>
              </w:rPr>
              <w:t>5.0（含）</w:t>
            </w:r>
            <w:r>
              <w:rPr>
                <w:rFonts w:ascii="Times New Roman" w:hAnsi="Times New Roman"/>
                <w:sz w:val="21"/>
                <w:szCs w:val="21"/>
              </w:rPr>
              <w:t>分；较明确、合理，得</w:t>
            </w:r>
            <w:r>
              <w:rPr>
                <w:rFonts w:hint="eastAsia" w:ascii="Times New Roman" w:hAnsi="Times New Roman"/>
                <w:kern w:val="2"/>
                <w:sz w:val="21"/>
                <w:szCs w:val="21"/>
              </w:rPr>
              <w:t>9.0</w:t>
            </w:r>
            <w:r>
              <w:rPr>
                <w:rFonts w:ascii="Times New Roman" w:hAnsi="Times New Roman"/>
                <w:kern w:val="2"/>
                <w:sz w:val="21"/>
                <w:szCs w:val="21"/>
              </w:rPr>
              <w:t>（不含）-</w:t>
            </w:r>
            <w:r>
              <w:rPr>
                <w:rFonts w:hint="eastAsia" w:ascii="Times New Roman" w:hAnsi="Times New Roman"/>
                <w:kern w:val="2"/>
                <w:sz w:val="21"/>
                <w:szCs w:val="21"/>
              </w:rPr>
              <w:t>12</w:t>
            </w:r>
            <w:r>
              <w:rPr>
                <w:rFonts w:ascii="Times New Roman" w:hAnsi="Times New Roman"/>
                <w:kern w:val="2"/>
                <w:sz w:val="21"/>
                <w:szCs w:val="21"/>
              </w:rPr>
              <w:t>.0</w:t>
            </w:r>
            <w:r>
              <w:rPr>
                <w:rFonts w:hint="eastAsia" w:ascii="Times New Roman" w:hAnsi="Times New Roman"/>
                <w:kern w:val="2"/>
                <w:sz w:val="21"/>
                <w:szCs w:val="21"/>
              </w:rPr>
              <w:t>（含）</w:t>
            </w:r>
            <w:r>
              <w:rPr>
                <w:rFonts w:ascii="Times New Roman" w:hAnsi="Times New Roman"/>
                <w:sz w:val="21"/>
                <w:szCs w:val="21"/>
              </w:rPr>
              <w:t>分；</w:t>
            </w:r>
            <w:r>
              <w:rPr>
                <w:rFonts w:ascii="Times New Roman" w:hAnsi="Times New Roman"/>
                <w:kern w:val="2"/>
                <w:sz w:val="21"/>
                <w:szCs w:val="21"/>
              </w:rPr>
              <w:t>一般，得</w:t>
            </w:r>
            <w:r>
              <w:rPr>
                <w:rFonts w:hint="eastAsia" w:ascii="Times New Roman" w:hAnsi="Times New Roman"/>
                <w:kern w:val="2"/>
                <w:sz w:val="21"/>
                <w:szCs w:val="21"/>
              </w:rPr>
              <w:t>9.0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5"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autoSpaceDE w:val="0"/>
              <w:autoSpaceDN w:val="0"/>
              <w:snapToGrid w:val="0"/>
              <w:ind w:left="9" w:right="11"/>
              <w:jc w:val="center"/>
              <w:rPr>
                <w:rFonts w:ascii="Times New Roman" w:hAnsi="Times New Roman"/>
                <w:kern w:val="0"/>
                <w:szCs w:val="21"/>
              </w:rPr>
            </w:pPr>
            <w:r>
              <w:rPr>
                <w:rFonts w:ascii="Times New Roman" w:hAnsi="Times New Roman"/>
                <w:kern w:val="0"/>
                <w:szCs w:val="21"/>
              </w:rPr>
              <w:t>工作进度安排</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sz w:val="21"/>
                <w:szCs w:val="21"/>
              </w:rPr>
            </w:pPr>
            <w:r>
              <w:rPr>
                <w:rFonts w:ascii="Times New Roman" w:hAnsi="Times New Roman"/>
                <w:kern w:val="2"/>
                <w:sz w:val="21"/>
                <w:szCs w:val="21"/>
              </w:rPr>
              <w:t>10分</w:t>
            </w:r>
          </w:p>
        </w:tc>
        <w:tc>
          <w:tcPr>
            <w:tcW w:w="4677" w:type="dxa"/>
            <w:tcBorders>
              <w:left w:val="single" w:color="auto" w:sz="4" w:space="0"/>
            </w:tcBorders>
            <w:vAlign w:val="center"/>
          </w:tcPr>
          <w:p>
            <w:pPr>
              <w:pStyle w:val="3"/>
              <w:snapToGrid w:val="0"/>
              <w:spacing w:line="360" w:lineRule="exact"/>
              <w:rPr>
                <w:rFonts w:ascii="Times New Roman" w:hAnsi="Times New Roman"/>
                <w:sz w:val="21"/>
                <w:szCs w:val="21"/>
              </w:rPr>
            </w:pPr>
            <w:r>
              <w:rPr>
                <w:rFonts w:ascii="Times New Roman" w:hAnsi="Times New Roman"/>
                <w:sz w:val="21"/>
                <w:szCs w:val="21"/>
              </w:rPr>
              <w:t>审计工作进度安排合理、全面性强，得</w:t>
            </w:r>
            <w:r>
              <w:rPr>
                <w:rFonts w:ascii="Times New Roman" w:hAnsi="Times New Roman"/>
                <w:kern w:val="2"/>
                <w:sz w:val="21"/>
                <w:szCs w:val="21"/>
              </w:rPr>
              <w:t>8.</w:t>
            </w:r>
            <w:r>
              <w:rPr>
                <w:rFonts w:hint="eastAsia" w:ascii="Times New Roman" w:hAnsi="Times New Roman"/>
                <w:kern w:val="2"/>
                <w:sz w:val="21"/>
                <w:szCs w:val="21"/>
              </w:rPr>
              <w:t>0</w:t>
            </w:r>
            <w:r>
              <w:rPr>
                <w:rFonts w:ascii="Times New Roman" w:hAnsi="Times New Roman"/>
                <w:kern w:val="2"/>
                <w:sz w:val="21"/>
                <w:szCs w:val="21"/>
              </w:rPr>
              <w:t>（不含）-10</w:t>
            </w:r>
            <w:r>
              <w:rPr>
                <w:rFonts w:hint="eastAsia" w:ascii="Times New Roman" w:hAnsi="Times New Roman"/>
                <w:kern w:val="2"/>
                <w:sz w:val="21"/>
                <w:szCs w:val="21"/>
              </w:rPr>
              <w:t>.0（含）</w:t>
            </w:r>
            <w:r>
              <w:rPr>
                <w:rFonts w:ascii="Times New Roman" w:hAnsi="Times New Roman"/>
                <w:sz w:val="21"/>
                <w:szCs w:val="21"/>
              </w:rPr>
              <w:t>分；合理性、全面性</w:t>
            </w:r>
            <w:r>
              <w:rPr>
                <w:rFonts w:hint="eastAsia" w:ascii="Times New Roman" w:hAnsi="Times New Roman"/>
                <w:sz w:val="21"/>
                <w:szCs w:val="21"/>
              </w:rPr>
              <w:t>较</w:t>
            </w:r>
            <w:r>
              <w:rPr>
                <w:rFonts w:ascii="Times New Roman" w:hAnsi="Times New Roman"/>
                <w:sz w:val="21"/>
                <w:szCs w:val="21"/>
              </w:rPr>
              <w:t>强，得</w:t>
            </w:r>
            <w:r>
              <w:rPr>
                <w:rFonts w:hint="eastAsia" w:ascii="Times New Roman" w:hAnsi="Times New Roman"/>
                <w:kern w:val="2"/>
                <w:sz w:val="21"/>
                <w:szCs w:val="21"/>
              </w:rPr>
              <w:t>6.0</w:t>
            </w:r>
            <w:r>
              <w:rPr>
                <w:rFonts w:ascii="Times New Roman" w:hAnsi="Times New Roman"/>
                <w:kern w:val="2"/>
                <w:sz w:val="21"/>
                <w:szCs w:val="21"/>
              </w:rPr>
              <w:t>（不含）-8.0</w:t>
            </w:r>
            <w:r>
              <w:rPr>
                <w:rFonts w:hint="eastAsia" w:ascii="Times New Roman" w:hAnsi="Times New Roman"/>
                <w:kern w:val="2"/>
                <w:sz w:val="21"/>
                <w:szCs w:val="21"/>
              </w:rPr>
              <w:t>（含）</w:t>
            </w:r>
            <w:r>
              <w:rPr>
                <w:rFonts w:ascii="Times New Roman" w:hAnsi="Times New Roman"/>
                <w:sz w:val="21"/>
                <w:szCs w:val="21"/>
              </w:rPr>
              <w:t>分；</w:t>
            </w:r>
            <w:r>
              <w:rPr>
                <w:rFonts w:ascii="Times New Roman" w:hAnsi="Times New Roman"/>
                <w:kern w:val="2"/>
                <w:sz w:val="21"/>
                <w:szCs w:val="21"/>
              </w:rPr>
              <w:t>一般，得</w:t>
            </w:r>
            <w:r>
              <w:rPr>
                <w:rFonts w:hint="eastAsia" w:ascii="Times New Roman" w:hAnsi="Times New Roman"/>
                <w:kern w:val="2"/>
                <w:sz w:val="21"/>
                <w:szCs w:val="21"/>
              </w:rPr>
              <w:t>6.0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43"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kern w:val="2"/>
                <w:sz w:val="21"/>
                <w:szCs w:val="21"/>
              </w:rPr>
              <w:t>工作质量控制</w:t>
            </w:r>
          </w:p>
        </w:tc>
        <w:tc>
          <w:tcPr>
            <w:tcW w:w="709" w:type="dxa"/>
            <w:tcBorders>
              <w:left w:val="single" w:color="auto" w:sz="4" w:space="0"/>
              <w:right w:val="single" w:color="auto" w:sz="4" w:space="0"/>
            </w:tcBorders>
            <w:vAlign w:val="center"/>
          </w:tcPr>
          <w:p>
            <w:pPr>
              <w:pStyle w:val="3"/>
              <w:snapToGrid w:val="0"/>
              <w:jc w:val="center"/>
              <w:rPr>
                <w:rFonts w:ascii="Times New Roman" w:hAnsi="Times New Roman"/>
                <w:kern w:val="2"/>
                <w:sz w:val="21"/>
                <w:szCs w:val="21"/>
              </w:rPr>
            </w:pPr>
            <w:r>
              <w:rPr>
                <w:rFonts w:hint="eastAsia" w:ascii="Times New Roman" w:hAnsi="Times New Roman"/>
                <w:kern w:val="2"/>
                <w:sz w:val="21"/>
                <w:szCs w:val="21"/>
              </w:rPr>
              <w:t>15</w:t>
            </w:r>
            <w:r>
              <w:rPr>
                <w:rFonts w:ascii="Times New Roman" w:hAnsi="Times New Roman"/>
                <w:kern w:val="2"/>
                <w:sz w:val="21"/>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sz w:val="21"/>
                <w:szCs w:val="21"/>
              </w:rPr>
            </w:pPr>
            <w:r>
              <w:rPr>
                <w:rFonts w:ascii="Times New Roman" w:hAnsi="Times New Roman"/>
                <w:sz w:val="21"/>
                <w:szCs w:val="21"/>
              </w:rPr>
              <w:t>审计工作质量控制和方法可行有效，程序合理明确，得</w:t>
            </w:r>
            <w:r>
              <w:rPr>
                <w:rFonts w:hint="eastAsia" w:ascii="Times New Roman" w:hAnsi="Times New Roman"/>
                <w:kern w:val="2"/>
                <w:sz w:val="21"/>
                <w:szCs w:val="21"/>
              </w:rPr>
              <w:t>12.0</w:t>
            </w:r>
            <w:r>
              <w:rPr>
                <w:rFonts w:ascii="Times New Roman" w:hAnsi="Times New Roman"/>
                <w:kern w:val="2"/>
                <w:sz w:val="21"/>
                <w:szCs w:val="21"/>
              </w:rPr>
              <w:t>（不含）-1</w:t>
            </w:r>
            <w:r>
              <w:rPr>
                <w:rFonts w:hint="eastAsia" w:ascii="Times New Roman" w:hAnsi="Times New Roman"/>
                <w:kern w:val="2"/>
                <w:sz w:val="21"/>
                <w:szCs w:val="21"/>
              </w:rPr>
              <w:t>5.0（含）</w:t>
            </w:r>
            <w:r>
              <w:rPr>
                <w:rFonts w:ascii="Times New Roman" w:hAnsi="Times New Roman"/>
                <w:sz w:val="21"/>
                <w:szCs w:val="21"/>
              </w:rPr>
              <w:t>分；较可行有效、程序较合理明确，得</w:t>
            </w:r>
            <w:r>
              <w:rPr>
                <w:rFonts w:hint="eastAsia" w:ascii="Times New Roman" w:hAnsi="Times New Roman"/>
                <w:kern w:val="2"/>
                <w:sz w:val="21"/>
                <w:szCs w:val="21"/>
              </w:rPr>
              <w:t>9.0</w:t>
            </w:r>
            <w:r>
              <w:rPr>
                <w:rFonts w:ascii="Times New Roman" w:hAnsi="Times New Roman"/>
                <w:kern w:val="2"/>
                <w:sz w:val="21"/>
                <w:szCs w:val="21"/>
              </w:rPr>
              <w:t>（不含）-</w:t>
            </w:r>
            <w:r>
              <w:rPr>
                <w:rFonts w:hint="eastAsia" w:ascii="Times New Roman" w:hAnsi="Times New Roman"/>
                <w:kern w:val="2"/>
                <w:sz w:val="21"/>
                <w:szCs w:val="21"/>
              </w:rPr>
              <w:t>12</w:t>
            </w:r>
            <w:r>
              <w:rPr>
                <w:rFonts w:ascii="Times New Roman" w:hAnsi="Times New Roman"/>
                <w:kern w:val="2"/>
                <w:sz w:val="21"/>
                <w:szCs w:val="21"/>
              </w:rPr>
              <w:t>.0</w:t>
            </w:r>
            <w:r>
              <w:rPr>
                <w:rFonts w:hint="eastAsia" w:ascii="Times New Roman" w:hAnsi="Times New Roman"/>
                <w:kern w:val="2"/>
                <w:sz w:val="21"/>
                <w:szCs w:val="21"/>
              </w:rPr>
              <w:t>（含）</w:t>
            </w:r>
            <w:r>
              <w:rPr>
                <w:rFonts w:ascii="Times New Roman" w:hAnsi="Times New Roman"/>
                <w:sz w:val="21"/>
                <w:szCs w:val="21"/>
              </w:rPr>
              <w:t>分；</w:t>
            </w:r>
            <w:r>
              <w:rPr>
                <w:rFonts w:ascii="Times New Roman" w:hAnsi="Times New Roman"/>
                <w:kern w:val="2"/>
                <w:sz w:val="21"/>
                <w:szCs w:val="21"/>
              </w:rPr>
              <w:t>一般，得</w:t>
            </w:r>
            <w:r>
              <w:rPr>
                <w:rFonts w:hint="eastAsia" w:ascii="Times New Roman" w:hAnsi="Times New Roman"/>
                <w:kern w:val="2"/>
                <w:sz w:val="21"/>
                <w:szCs w:val="21"/>
              </w:rPr>
              <w:t>9.0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32"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kern w:val="2"/>
                <w:sz w:val="21"/>
                <w:szCs w:val="21"/>
              </w:rPr>
              <w:t>履职承诺</w:t>
            </w:r>
          </w:p>
        </w:tc>
        <w:tc>
          <w:tcPr>
            <w:tcW w:w="709" w:type="dxa"/>
            <w:tcBorders>
              <w:left w:val="single" w:color="auto" w:sz="4" w:space="0"/>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kern w:val="2"/>
                <w:sz w:val="21"/>
                <w:szCs w:val="21"/>
              </w:rPr>
              <w:t>5分</w:t>
            </w:r>
          </w:p>
        </w:tc>
        <w:tc>
          <w:tcPr>
            <w:tcW w:w="4677" w:type="dxa"/>
            <w:tcBorders>
              <w:left w:val="single" w:color="auto" w:sz="4" w:space="0"/>
            </w:tcBorders>
            <w:vAlign w:val="center"/>
          </w:tcPr>
          <w:p>
            <w:pPr>
              <w:pStyle w:val="3"/>
              <w:snapToGrid w:val="0"/>
              <w:spacing w:line="360" w:lineRule="exact"/>
              <w:rPr>
                <w:rFonts w:ascii="Times New Roman" w:hAnsi="Times New Roman"/>
                <w:kern w:val="2"/>
                <w:sz w:val="21"/>
                <w:szCs w:val="21"/>
              </w:rPr>
            </w:pPr>
            <w:r>
              <w:rPr>
                <w:rFonts w:ascii="Times New Roman" w:hAnsi="Times New Roman"/>
                <w:kern w:val="2"/>
                <w:sz w:val="21"/>
                <w:szCs w:val="21"/>
              </w:rPr>
              <w:t>承诺遵照国家有关的法律法规，认真履行工作职责，并对审计意见和咨询意见承担法律和经济责任；详细、全面、条理清晰，得</w:t>
            </w:r>
            <w:r>
              <w:rPr>
                <w:rFonts w:hint="eastAsia" w:ascii="Times New Roman" w:hAnsi="Times New Roman"/>
                <w:kern w:val="2"/>
                <w:sz w:val="21"/>
                <w:szCs w:val="21"/>
              </w:rPr>
              <w:t>4</w:t>
            </w:r>
            <w:r>
              <w:rPr>
                <w:rFonts w:ascii="Times New Roman" w:hAnsi="Times New Roman"/>
                <w:kern w:val="2"/>
                <w:sz w:val="21"/>
                <w:szCs w:val="21"/>
              </w:rPr>
              <w:t>.</w:t>
            </w:r>
            <w:r>
              <w:rPr>
                <w:rFonts w:hint="eastAsia" w:ascii="Times New Roman" w:hAnsi="Times New Roman"/>
                <w:kern w:val="2"/>
                <w:sz w:val="21"/>
                <w:szCs w:val="21"/>
              </w:rPr>
              <w:t>0</w:t>
            </w:r>
            <w:r>
              <w:rPr>
                <w:rFonts w:ascii="Times New Roman" w:hAnsi="Times New Roman"/>
                <w:kern w:val="2"/>
                <w:sz w:val="21"/>
                <w:szCs w:val="21"/>
              </w:rPr>
              <w:t>（不含）-5</w:t>
            </w:r>
            <w:r>
              <w:rPr>
                <w:rFonts w:hint="eastAsia" w:ascii="Times New Roman" w:hAnsi="Times New Roman"/>
                <w:kern w:val="2"/>
                <w:sz w:val="21"/>
                <w:szCs w:val="21"/>
              </w:rPr>
              <w:t>.0（含）</w:t>
            </w:r>
            <w:r>
              <w:rPr>
                <w:rFonts w:ascii="Times New Roman" w:hAnsi="Times New Roman"/>
                <w:kern w:val="2"/>
                <w:sz w:val="21"/>
                <w:szCs w:val="21"/>
              </w:rPr>
              <w:t>分；较详细、全面、条理较清晰，得3.0（不含）</w:t>
            </w:r>
            <w:r>
              <w:rPr>
                <w:rFonts w:hint="eastAsia" w:ascii="Times New Roman" w:hAnsi="Times New Roman"/>
                <w:kern w:val="2"/>
                <w:sz w:val="21"/>
                <w:szCs w:val="21"/>
              </w:rPr>
              <w:t>-4.0（含）</w:t>
            </w:r>
            <w:r>
              <w:rPr>
                <w:rFonts w:ascii="Times New Roman" w:hAnsi="Times New Roman"/>
                <w:kern w:val="2"/>
                <w:sz w:val="21"/>
                <w:szCs w:val="21"/>
              </w:rPr>
              <w:t>分</w:t>
            </w:r>
            <w:r>
              <w:rPr>
                <w:rFonts w:hint="eastAsia" w:ascii="Times New Roman" w:hAnsi="Times New Roman"/>
                <w:kern w:val="2"/>
                <w:sz w:val="21"/>
                <w:szCs w:val="21"/>
              </w:rPr>
              <w:t>，</w:t>
            </w:r>
            <w:r>
              <w:rPr>
                <w:rFonts w:ascii="Times New Roman" w:hAnsi="Times New Roman"/>
                <w:kern w:val="2"/>
                <w:sz w:val="21"/>
                <w:szCs w:val="21"/>
              </w:rPr>
              <w:t>一般</w:t>
            </w:r>
            <w:r>
              <w:rPr>
                <w:rFonts w:hint="eastAsia" w:ascii="Times New Roman" w:hAnsi="Times New Roman"/>
                <w:kern w:val="2"/>
                <w:sz w:val="21"/>
                <w:szCs w:val="21"/>
              </w:rPr>
              <w:t>，</w:t>
            </w:r>
            <w:r>
              <w:rPr>
                <w:rFonts w:ascii="Times New Roman" w:hAnsi="Times New Roman"/>
                <w:kern w:val="2"/>
                <w:sz w:val="21"/>
                <w:szCs w:val="21"/>
              </w:rPr>
              <w:t>得</w:t>
            </w:r>
            <w:r>
              <w:rPr>
                <w:rFonts w:hint="eastAsia" w:ascii="Times New Roman" w:hAnsi="Times New Roman"/>
                <w:kern w:val="2"/>
                <w:sz w:val="21"/>
                <w:szCs w:val="21"/>
              </w:rPr>
              <w:t>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7"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szCs w:val="21"/>
              </w:rPr>
              <w:t>项目组人员配备</w:t>
            </w:r>
          </w:p>
        </w:tc>
        <w:tc>
          <w:tcPr>
            <w:tcW w:w="709" w:type="dxa"/>
            <w:tcBorders>
              <w:left w:val="single" w:color="auto" w:sz="4" w:space="0"/>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kern w:val="2"/>
                <w:sz w:val="21"/>
                <w:szCs w:val="24"/>
              </w:rPr>
            </w:pPr>
            <w:r>
              <w:rPr>
                <w:rFonts w:ascii="Times New Roman" w:hAnsi="Times New Roman"/>
                <w:kern w:val="2"/>
                <w:sz w:val="21"/>
                <w:szCs w:val="24"/>
              </w:rPr>
              <w:t>投标人满足“附录</w:t>
            </w:r>
            <w:r>
              <w:rPr>
                <w:rFonts w:hint="eastAsia" w:ascii="Times New Roman" w:hAnsi="Times New Roman"/>
                <w:kern w:val="2"/>
                <w:sz w:val="21"/>
                <w:szCs w:val="24"/>
              </w:rPr>
              <w:t>5</w:t>
            </w:r>
            <w:r>
              <w:rPr>
                <w:rFonts w:ascii="Times New Roman" w:hAnsi="Times New Roman"/>
                <w:kern w:val="2"/>
                <w:sz w:val="21"/>
                <w:szCs w:val="24"/>
              </w:rPr>
              <w:t>资格审查条件（</w:t>
            </w:r>
            <w:r>
              <w:rPr>
                <w:rFonts w:hint="eastAsia" w:ascii="Times New Roman" w:hAnsi="Times New Roman"/>
                <w:kern w:val="2"/>
                <w:sz w:val="21"/>
                <w:szCs w:val="24"/>
              </w:rPr>
              <w:t>其他人员最低要求</w:t>
            </w:r>
            <w:r>
              <w:rPr>
                <w:rFonts w:ascii="Times New Roman" w:hAnsi="Times New Roman"/>
                <w:kern w:val="2"/>
                <w:sz w:val="21"/>
                <w:szCs w:val="24"/>
              </w:rPr>
              <w:t>）”</w:t>
            </w:r>
            <w:r>
              <w:rPr>
                <w:rFonts w:hint="eastAsia" w:ascii="Times New Roman" w:hAnsi="Times New Roman"/>
                <w:kern w:val="2"/>
                <w:sz w:val="21"/>
                <w:szCs w:val="24"/>
              </w:rPr>
              <w:t>得9分。</w:t>
            </w:r>
          </w:p>
          <w:p>
            <w:pPr>
              <w:pStyle w:val="3"/>
              <w:snapToGrid w:val="0"/>
              <w:spacing w:line="360" w:lineRule="exact"/>
              <w:rPr>
                <w:rFonts w:ascii="Times New Roman" w:hAnsi="Times New Roman"/>
                <w:kern w:val="2"/>
                <w:sz w:val="21"/>
                <w:szCs w:val="21"/>
              </w:rPr>
            </w:pPr>
            <w:r>
              <w:rPr>
                <w:rFonts w:hint="eastAsia" w:ascii="Times New Roman" w:hAnsi="Times New Roman"/>
                <w:kern w:val="2"/>
                <w:sz w:val="21"/>
                <w:szCs w:val="21"/>
              </w:rPr>
              <w:t>项目组人员中（一级注册造价工程师除外）中每有一名高级职称人员加2分，每有一名中级职称人员加1分，最高加6分。高级职称人员和中级职称人员不叠加计算。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5" w:hRule="exact"/>
          <w:jc w:val="center"/>
        </w:trPr>
        <w:tc>
          <w:tcPr>
            <w:tcW w:w="977" w:type="dxa"/>
            <w:vAlign w:val="center"/>
          </w:tcPr>
          <w:p>
            <w:pPr>
              <w:autoSpaceDE w:val="0"/>
              <w:autoSpaceDN w:val="0"/>
              <w:snapToGrid w:val="0"/>
              <w:ind w:right="11"/>
              <w:jc w:val="center"/>
              <w:rPr>
                <w:rFonts w:ascii="Times New Roman" w:hAnsi="Times New Roman"/>
              </w:rPr>
            </w:pPr>
            <w:r>
              <w:rPr>
                <w:rFonts w:ascii="Times New Roman" w:hAnsi="Times New Roman"/>
              </w:rPr>
              <w:t>2.2.4(</w:t>
            </w:r>
            <w:r>
              <w:rPr>
                <w:rFonts w:hint="eastAsia" w:ascii="Times New Roman" w:hAnsi="Times New Roman"/>
              </w:rPr>
              <w:t>2</w:t>
            </w:r>
            <w:r>
              <w:rPr>
                <w:rFonts w:ascii="Times New Roman" w:hAnsi="Times New Roman"/>
              </w:rPr>
              <w:t>)</w:t>
            </w:r>
          </w:p>
        </w:tc>
        <w:tc>
          <w:tcPr>
            <w:tcW w:w="516" w:type="dxa"/>
            <w:vAlign w:val="center"/>
          </w:tcPr>
          <w:p>
            <w:pPr>
              <w:autoSpaceDE w:val="0"/>
              <w:autoSpaceDN w:val="0"/>
              <w:spacing w:line="360" w:lineRule="exact"/>
              <w:jc w:val="center"/>
              <w:rPr>
                <w:rFonts w:ascii="Times New Roman" w:hAnsi="Times New Roman"/>
                <w:kern w:val="0"/>
                <w:szCs w:val="21"/>
              </w:rPr>
            </w:pPr>
            <w:r>
              <w:rPr>
                <w:rFonts w:ascii="Times New Roman" w:hAnsi="Times New Roman"/>
                <w:kern w:val="0"/>
                <w:szCs w:val="21"/>
              </w:rPr>
              <w:t>评标价</w:t>
            </w:r>
          </w:p>
        </w:tc>
        <w:tc>
          <w:tcPr>
            <w:tcW w:w="837" w:type="dxa"/>
            <w:vAlign w:val="center"/>
          </w:tcPr>
          <w:p>
            <w:pPr>
              <w:autoSpaceDE w:val="0"/>
              <w:autoSpaceDN w:val="0"/>
              <w:spacing w:line="192" w:lineRule="exact"/>
              <w:ind w:left="2" w:right="2"/>
              <w:jc w:val="center"/>
              <w:rPr>
                <w:rFonts w:ascii="Times New Roman" w:hAnsi="Times New Roman"/>
                <w:kern w:val="0"/>
                <w:szCs w:val="21"/>
              </w:rPr>
            </w:pPr>
            <w:r>
              <w:rPr>
                <w:rFonts w:hint="eastAsia" w:ascii="Times New Roman" w:hAnsi="Times New Roman"/>
                <w:kern w:val="0"/>
                <w:szCs w:val="21"/>
              </w:rPr>
              <w:t>10</w:t>
            </w:r>
            <w:r>
              <w:rPr>
                <w:rFonts w:ascii="Times New Roman" w:hAnsi="Times New Roman"/>
                <w:kern w:val="0"/>
                <w:szCs w:val="21"/>
              </w:rPr>
              <w:t>分</w:t>
            </w:r>
          </w:p>
        </w:tc>
        <w:tc>
          <w:tcPr>
            <w:tcW w:w="6868" w:type="dxa"/>
            <w:gridSpan w:val="3"/>
            <w:vAlign w:val="center"/>
          </w:tcPr>
          <w:p>
            <w:pPr>
              <w:pStyle w:val="3"/>
              <w:spacing w:line="360" w:lineRule="exact"/>
              <w:rPr>
                <w:rFonts w:ascii="Times New Roman" w:hAnsi="Times New Roman"/>
                <w:kern w:val="2"/>
                <w:sz w:val="21"/>
                <w:szCs w:val="21"/>
              </w:rPr>
            </w:pPr>
            <w:r>
              <w:rPr>
                <w:rFonts w:ascii="Times New Roman" w:hAnsi="Times New Roman"/>
                <w:kern w:val="2"/>
                <w:sz w:val="21"/>
                <w:szCs w:val="21"/>
              </w:rPr>
              <w:t>评标价得分计算公式：</w:t>
            </w:r>
          </w:p>
          <w:p>
            <w:pPr>
              <w:pStyle w:val="3"/>
              <w:spacing w:line="360" w:lineRule="exact"/>
              <w:rPr>
                <w:rFonts w:ascii="Times New Roman" w:hAnsi="Times New Roman"/>
                <w:kern w:val="2"/>
                <w:sz w:val="21"/>
                <w:szCs w:val="21"/>
              </w:rPr>
            </w:pPr>
            <w:r>
              <w:rPr>
                <w:rFonts w:ascii="Times New Roman" w:hAnsi="Times New Roman"/>
                <w:kern w:val="2"/>
                <w:sz w:val="21"/>
                <w:szCs w:val="21"/>
              </w:rPr>
              <w:t>（1）如果投标人的评标价＞评标基准价，则评标价得分=F-偏差率×100×E1；</w:t>
            </w:r>
          </w:p>
          <w:p>
            <w:pPr>
              <w:pStyle w:val="3"/>
              <w:spacing w:line="360" w:lineRule="exact"/>
              <w:rPr>
                <w:rFonts w:ascii="Times New Roman" w:hAnsi="Times New Roman"/>
                <w:kern w:val="2"/>
                <w:sz w:val="21"/>
                <w:szCs w:val="21"/>
              </w:rPr>
            </w:pPr>
            <w:r>
              <w:rPr>
                <w:rFonts w:ascii="Times New Roman" w:hAnsi="Times New Roman"/>
                <w:kern w:val="2"/>
                <w:sz w:val="21"/>
                <w:szCs w:val="21"/>
              </w:rPr>
              <w:t>（2）如果投标人的评标价≤评标基准价，则评标价得分=F+偏差率×100×E2。</w:t>
            </w:r>
          </w:p>
          <w:p>
            <w:pPr>
              <w:pStyle w:val="3"/>
              <w:spacing w:line="360" w:lineRule="exact"/>
              <w:rPr>
                <w:rFonts w:ascii="Times New Roman" w:hAnsi="Times New Roman"/>
                <w:kern w:val="2"/>
                <w:sz w:val="21"/>
                <w:szCs w:val="21"/>
              </w:rPr>
            </w:pPr>
            <w:r>
              <w:rPr>
                <w:rFonts w:ascii="Times New Roman" w:hAnsi="Times New Roman"/>
                <w:kern w:val="2"/>
                <w:sz w:val="21"/>
                <w:szCs w:val="21"/>
              </w:rPr>
              <w:t>其中，F=</w:t>
            </w:r>
            <w:r>
              <w:rPr>
                <w:rFonts w:hint="eastAsia" w:ascii="Times New Roman" w:hAnsi="Times New Roman"/>
                <w:kern w:val="2"/>
                <w:sz w:val="21"/>
                <w:szCs w:val="21"/>
              </w:rPr>
              <w:t>1</w:t>
            </w:r>
            <w:r>
              <w:rPr>
                <w:rFonts w:ascii="Times New Roman" w:hAnsi="Times New Roman"/>
                <w:kern w:val="2"/>
                <w:sz w:val="21"/>
                <w:szCs w:val="21"/>
              </w:rPr>
              <w:t>0；E1=0.</w:t>
            </w:r>
            <w:r>
              <w:rPr>
                <w:rFonts w:hint="eastAsia" w:ascii="Times New Roman" w:hAnsi="Times New Roman"/>
                <w:kern w:val="2"/>
                <w:sz w:val="21"/>
                <w:szCs w:val="21"/>
              </w:rPr>
              <w:t>2</w:t>
            </w:r>
            <w:r>
              <w:rPr>
                <w:rFonts w:ascii="Times New Roman" w:hAnsi="Times New Roman"/>
                <w:kern w:val="2"/>
                <w:sz w:val="21"/>
                <w:szCs w:val="21"/>
              </w:rPr>
              <w:t>；E2=0.</w:t>
            </w:r>
            <w:r>
              <w:rPr>
                <w:rFonts w:hint="eastAsia" w:ascii="Times New Roman" w:hAnsi="Times New Roman"/>
                <w:kern w:val="2"/>
                <w:sz w:val="21"/>
                <w:szCs w:val="21"/>
              </w:rPr>
              <w:t>1</w:t>
            </w:r>
            <w:r>
              <w:rPr>
                <w:rFonts w:ascii="Times New Roman" w:hAnsi="Times New Roman"/>
                <w:kern w:val="2"/>
                <w:sz w:val="21"/>
                <w:szCs w:val="21"/>
              </w:rPr>
              <w:t>；评标价最低得分为0分。</w:t>
            </w:r>
          </w:p>
        </w:tc>
      </w:tr>
    </w:tbl>
    <w:p>
      <w:pPr>
        <w:spacing w:line="360" w:lineRule="exact"/>
        <w:rPr>
          <w:rFonts w:ascii="宋体" w:hAnsi="宋体"/>
          <w:kern w:val="0"/>
          <w:sz w:val="24"/>
          <w:szCs w:val="24"/>
        </w:rPr>
      </w:pPr>
      <w:r>
        <w:rPr>
          <w:rFonts w:hint="eastAsia" w:ascii="宋体" w:hAnsi="宋体"/>
          <w:kern w:val="0"/>
          <w:sz w:val="24"/>
          <w:szCs w:val="24"/>
        </w:rPr>
        <w:t>注：1、评审因素得分应以评标委员会各成员的打分平均值确定。</w:t>
      </w:r>
    </w:p>
    <w:p>
      <w:pPr>
        <w:spacing w:line="360" w:lineRule="exact"/>
        <w:ind w:firstLine="480" w:firstLineChars="200"/>
        <w:rPr>
          <w:rFonts w:ascii="宋体" w:hAnsi="宋体"/>
          <w:kern w:val="0"/>
          <w:sz w:val="24"/>
          <w:szCs w:val="24"/>
        </w:rPr>
      </w:pPr>
      <w:r>
        <w:rPr>
          <w:rFonts w:hint="eastAsia" w:ascii="宋体" w:hAnsi="宋体"/>
          <w:kern w:val="0"/>
          <w:sz w:val="24"/>
          <w:szCs w:val="24"/>
        </w:rPr>
        <w:t>2、以上各项如出现缺项、漏项时，该项按“ 0 ”分计。</w:t>
      </w:r>
    </w:p>
    <w:p>
      <w:pPr>
        <w:spacing w:line="360" w:lineRule="exact"/>
        <w:ind w:firstLine="480" w:firstLineChars="200"/>
        <w:rPr>
          <w:rFonts w:ascii="宋体" w:hAnsi="宋体"/>
          <w:sz w:val="24"/>
          <w:szCs w:val="24"/>
        </w:rPr>
      </w:pPr>
      <w:r>
        <w:rPr>
          <w:rFonts w:hint="eastAsia" w:ascii="宋体" w:hAnsi="宋体"/>
          <w:kern w:val="0"/>
          <w:sz w:val="24"/>
          <w:szCs w:val="24"/>
        </w:rPr>
        <w:t>3、打分时保留1位小数，计算得分时保留两位小数。</w:t>
      </w:r>
    </w:p>
    <w:bookmarkEnd w:id="8"/>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7E0C5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2023-09-19T00:52:18Z</dcterms:created>
  <dc:creator>Administrator</dc:creator>
  <cp:lastModifiedBy>李娜</cp:lastModifiedBy>
  <dcterms:modified xsi:type="dcterms:W3CDTF">2023-09-19T00:52:22Z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A3D3848EB8AE45BDAA41D3B335D8D4E2_12</vt:lpwstr>
  </property>
</Properties>
</file>