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360" w:lineRule="auto"/>
        <w:ind w:left="0"/>
        <w:outlineLvl w:val="1"/>
        <w:rPr>
          <w:rFonts w:asciiTheme="minorEastAsia" w:hAnsiTheme="minorEastAsia" w:eastAsiaTheme="minorEastAsia"/>
          <w:bCs w:val="0"/>
          <w:sz w:val="28"/>
          <w:szCs w:val="36"/>
          <w:shd w:val="clear" w:color="auto" w:fill="FFFFFF"/>
          <w:lang w:eastAsia="zh-CN"/>
        </w:rPr>
      </w:pPr>
      <w:bookmarkStart w:id="0" w:name="_Toc136940559"/>
      <w:bookmarkStart w:id="1" w:name="_Toc136940439"/>
      <w:bookmarkStart w:id="2" w:name="OLE_LINK1"/>
      <w:bookmarkStart w:id="3" w:name="_Toc519088324"/>
      <w:bookmarkStart w:id="4" w:name="OLE_LINK2"/>
      <w:r>
        <w:rPr>
          <w:rFonts w:hint="eastAsia" w:asciiTheme="minorEastAsia" w:hAnsiTheme="minorEastAsia" w:eastAsiaTheme="minorEastAsia"/>
          <w:bCs w:val="0"/>
          <w:sz w:val="28"/>
          <w:szCs w:val="36"/>
          <w:shd w:val="clear" w:color="auto" w:fill="FFFFFF"/>
          <w:lang w:eastAsia="zh-CN"/>
        </w:rPr>
        <w:t>附件</w:t>
      </w:r>
      <w:r>
        <w:rPr>
          <w:rFonts w:asciiTheme="minorEastAsia" w:hAnsiTheme="minorEastAsia" w:eastAsiaTheme="minorEastAsia"/>
          <w:bCs w:val="0"/>
          <w:sz w:val="28"/>
          <w:szCs w:val="36"/>
          <w:shd w:val="clear" w:color="auto" w:fill="FFFFFF"/>
          <w:lang w:eastAsia="zh-CN"/>
        </w:rPr>
        <w:t>1</w:t>
      </w:r>
      <w:r>
        <w:rPr>
          <w:rFonts w:hint="eastAsia" w:asciiTheme="minorEastAsia" w:hAnsiTheme="minorEastAsia" w:eastAsiaTheme="minorEastAsia"/>
          <w:bCs w:val="0"/>
          <w:sz w:val="28"/>
          <w:szCs w:val="36"/>
          <w:shd w:val="clear" w:color="auto" w:fill="FFFFFF"/>
          <w:lang w:eastAsia="zh-CN"/>
        </w:rPr>
        <w:t>：资格审查条件</w:t>
      </w:r>
      <w:bookmarkEnd w:id="0"/>
      <w:bookmarkEnd w:id="1"/>
    </w:p>
    <w:p>
      <w:pPr>
        <w:pStyle w:val="15"/>
        <w:adjustRightInd w:val="0"/>
        <w:snapToGrid w:val="0"/>
        <w:jc w:val="center"/>
        <w:rPr>
          <w:rFonts w:asciiTheme="minorEastAsia" w:hAnsiTheme="minorEastAsia"/>
          <w:b/>
          <w:sz w:val="24"/>
          <w:szCs w:val="24"/>
          <w:shd w:val="clear" w:color="auto" w:fill="FFFFFF"/>
          <w:lang w:eastAsia="zh-CN"/>
        </w:rPr>
      </w:pPr>
      <w:bookmarkStart w:id="5" w:name="_Hlk44947073"/>
      <w:bookmarkStart w:id="6" w:name="_Toc524343453"/>
    </w:p>
    <w:p>
      <w:pPr>
        <w:pStyle w:val="15"/>
        <w:adjustRightInd w:val="0"/>
        <w:snapToGrid w:val="0"/>
        <w:spacing w:line="360" w:lineRule="auto"/>
        <w:jc w:val="center"/>
        <w:rPr>
          <w:rFonts w:asciiTheme="minorEastAsia" w:hAnsiTheme="minorEastAsia"/>
          <w:sz w:val="24"/>
          <w:szCs w:val="24"/>
          <w:shd w:val="clear" w:color="auto" w:fill="FFFFFF"/>
          <w:lang w:eastAsia="zh-CN"/>
        </w:rPr>
      </w:pPr>
      <w:r>
        <w:rPr>
          <w:rFonts w:hint="eastAsia" w:asciiTheme="minorEastAsia" w:hAnsiTheme="minorEastAsia"/>
          <w:b/>
          <w:sz w:val="24"/>
          <w:szCs w:val="24"/>
          <w:shd w:val="clear" w:color="auto" w:fill="FFFFFF"/>
          <w:lang w:eastAsia="zh-CN"/>
        </w:rPr>
        <w:t>附录</w:t>
      </w:r>
      <w:r>
        <w:rPr>
          <w:rFonts w:asciiTheme="minorEastAsia" w:hAnsiTheme="minorEastAsia"/>
          <w:b/>
          <w:sz w:val="24"/>
          <w:szCs w:val="24"/>
          <w:shd w:val="clear" w:color="auto" w:fill="FFFFFF"/>
          <w:lang w:eastAsia="zh-CN"/>
        </w:rPr>
        <w:t xml:space="preserve">1 </w:t>
      </w:r>
      <w:bookmarkEnd w:id="5"/>
      <w:r>
        <w:rPr>
          <w:rFonts w:asciiTheme="minorEastAsia" w:hAnsiTheme="minorEastAsia"/>
          <w:b/>
          <w:sz w:val="24"/>
          <w:szCs w:val="24"/>
          <w:shd w:val="clear" w:color="auto" w:fill="FFFFFF"/>
          <w:lang w:eastAsia="zh-CN"/>
        </w:rPr>
        <w:t xml:space="preserve"> </w:t>
      </w:r>
      <w:r>
        <w:rPr>
          <w:rFonts w:hint="eastAsia" w:asciiTheme="minorEastAsia" w:hAnsiTheme="minorEastAsia"/>
          <w:b/>
          <w:sz w:val="24"/>
          <w:szCs w:val="24"/>
          <w:shd w:val="clear" w:color="auto" w:fill="FFFFFF"/>
          <w:lang w:eastAsia="zh-CN"/>
        </w:rPr>
        <w:t>资格审查条件</w:t>
      </w:r>
      <w:r>
        <w:rPr>
          <w:rFonts w:asciiTheme="minorEastAsia" w:hAnsiTheme="minorEastAsia"/>
          <w:b/>
          <w:sz w:val="24"/>
          <w:szCs w:val="24"/>
          <w:shd w:val="clear" w:color="auto" w:fill="FFFFFF"/>
          <w:lang w:eastAsia="zh-CN"/>
        </w:rPr>
        <w:t>(</w:t>
      </w:r>
      <w:r>
        <w:rPr>
          <w:rFonts w:hint="eastAsia" w:asciiTheme="minorEastAsia" w:hAnsiTheme="minorEastAsia"/>
          <w:b/>
          <w:sz w:val="24"/>
          <w:szCs w:val="24"/>
          <w:shd w:val="clear" w:color="auto" w:fill="FFFFFF"/>
          <w:lang w:eastAsia="zh-CN"/>
        </w:rPr>
        <w:t>资质最低条件</w:t>
      </w:r>
      <w:r>
        <w:rPr>
          <w:rFonts w:asciiTheme="minorEastAsia" w:hAnsiTheme="minorEastAsia"/>
          <w:b/>
          <w:sz w:val="24"/>
          <w:szCs w:val="24"/>
          <w:shd w:val="clear" w:color="auto" w:fill="FFFFFF"/>
          <w:lang w:eastAsia="zh-CN"/>
        </w:rPr>
        <w:t>)</w:t>
      </w:r>
      <w:bookmarkEnd w:id="6"/>
    </w:p>
    <w:tbl>
      <w:tblPr>
        <w:tblStyle w:val="7"/>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90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blHeader/>
          <w:jc w:val="center"/>
        </w:trPr>
        <w:tc>
          <w:tcPr>
            <w:tcW w:w="9072" w:type="dxa"/>
            <w:vAlign w:val="center"/>
          </w:tcPr>
          <w:p>
            <w:pPr>
              <w:adjustRightInd w:val="0"/>
              <w:snapToGrid w:val="0"/>
              <w:spacing w:line="360" w:lineRule="auto"/>
              <w:jc w:val="center"/>
              <w:rPr>
                <w:rFonts w:cs="宋体" w:asciiTheme="minorEastAsia" w:hAnsiTheme="minorEastAsia"/>
                <w:b/>
                <w:bCs/>
                <w:sz w:val="24"/>
                <w:szCs w:val="24"/>
                <w:shd w:val="clear" w:color="auto" w:fill="FFFFFF"/>
              </w:rPr>
            </w:pPr>
            <w:r>
              <w:rPr>
                <w:rFonts w:hint="eastAsia" w:cs="宋体" w:asciiTheme="minorEastAsia" w:hAnsiTheme="minorEastAsia"/>
                <w:b/>
                <w:bCs/>
                <w:sz w:val="24"/>
                <w:szCs w:val="24"/>
                <w:shd w:val="clear" w:color="auto" w:fill="FFFFFF"/>
              </w:rPr>
              <w:t>资质要求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355" w:hRule="atLeast"/>
          <w:jc w:val="center"/>
        </w:trPr>
        <w:tc>
          <w:tcPr>
            <w:tcW w:w="9072" w:type="dxa"/>
            <w:vAlign w:val="center"/>
          </w:tcPr>
          <w:p>
            <w:pPr>
              <w:adjustRightInd w:val="0"/>
              <w:snapToGrid w:val="0"/>
              <w:spacing w:line="360" w:lineRule="auto"/>
              <w:ind w:firstLine="480" w:firstLineChars="200"/>
              <w:jc w:val="both"/>
              <w:rPr>
                <w:rFonts w:ascii="宋体" w:hAnsi="宋体" w:eastAsia="宋体"/>
                <w:sz w:val="24"/>
                <w:szCs w:val="24"/>
                <w:lang w:eastAsia="zh-CN"/>
              </w:rPr>
            </w:pPr>
            <w:r>
              <w:rPr>
                <w:rFonts w:hint="eastAsia" w:ascii="宋体" w:hAnsi="宋体" w:eastAsia="宋体"/>
                <w:sz w:val="24"/>
                <w:szCs w:val="24"/>
                <w:lang w:eastAsia="zh-CN"/>
              </w:rPr>
              <w:t>1.投标人应为在中华人民共和国境内注册，能够独立承担民事责任，有供应能力的独立法人组织；</w:t>
            </w:r>
          </w:p>
          <w:p>
            <w:pPr>
              <w:adjustRightInd w:val="0"/>
              <w:snapToGrid w:val="0"/>
              <w:spacing w:line="360" w:lineRule="auto"/>
              <w:ind w:firstLine="480" w:firstLineChars="200"/>
              <w:jc w:val="both"/>
              <w:rPr>
                <w:rFonts w:ascii="宋体" w:hAnsi="宋体" w:eastAsia="宋体"/>
                <w:sz w:val="24"/>
                <w:szCs w:val="24"/>
                <w:shd w:val="clear" w:color="auto" w:fill="FFFFFF"/>
                <w:lang w:eastAsia="zh-CN"/>
              </w:rPr>
            </w:pPr>
            <w:r>
              <w:rPr>
                <w:rFonts w:hint="eastAsia" w:ascii="宋体" w:hAnsi="宋体" w:eastAsia="宋体"/>
                <w:sz w:val="24"/>
                <w:szCs w:val="24"/>
                <w:lang w:eastAsia="zh-CN"/>
              </w:rPr>
              <w:t>2.本次招标接受经销商投标。</w:t>
            </w:r>
          </w:p>
        </w:tc>
      </w:tr>
    </w:tbl>
    <w:p>
      <w:pPr>
        <w:pStyle w:val="15"/>
        <w:wordWrap w:val="0"/>
        <w:adjustRightInd w:val="0"/>
        <w:snapToGrid w:val="0"/>
        <w:spacing w:line="360" w:lineRule="auto"/>
        <w:jc w:val="center"/>
        <w:rPr>
          <w:rFonts w:asciiTheme="minorEastAsia" w:hAnsiTheme="minorEastAsia"/>
          <w:b/>
          <w:sz w:val="24"/>
          <w:szCs w:val="24"/>
          <w:shd w:val="clear" w:color="auto" w:fill="FFFFFF"/>
          <w:lang w:eastAsia="zh-CN"/>
        </w:rPr>
      </w:pPr>
    </w:p>
    <w:p>
      <w:pPr>
        <w:pStyle w:val="15"/>
        <w:wordWrap w:val="0"/>
        <w:adjustRightInd w:val="0"/>
        <w:snapToGrid w:val="0"/>
        <w:spacing w:line="360" w:lineRule="auto"/>
        <w:jc w:val="center"/>
        <w:rPr>
          <w:rFonts w:asciiTheme="minorEastAsia" w:hAnsiTheme="minorEastAsia"/>
          <w:b/>
          <w:sz w:val="24"/>
          <w:szCs w:val="24"/>
          <w:shd w:val="clear" w:color="auto" w:fill="FFFFFF"/>
          <w:lang w:eastAsia="zh-CN"/>
        </w:rPr>
      </w:pPr>
    </w:p>
    <w:p>
      <w:pPr>
        <w:pStyle w:val="15"/>
        <w:wordWrap w:val="0"/>
        <w:adjustRightInd w:val="0"/>
        <w:snapToGrid w:val="0"/>
        <w:spacing w:line="360" w:lineRule="auto"/>
        <w:jc w:val="center"/>
        <w:rPr>
          <w:rFonts w:asciiTheme="minorEastAsia" w:hAnsiTheme="minorEastAsia"/>
          <w:b/>
          <w:sz w:val="24"/>
          <w:szCs w:val="24"/>
          <w:shd w:val="clear" w:color="auto" w:fill="FFFFFF"/>
          <w:lang w:eastAsia="zh-CN"/>
        </w:rPr>
      </w:pPr>
    </w:p>
    <w:p>
      <w:pPr>
        <w:pStyle w:val="15"/>
        <w:adjustRightInd w:val="0"/>
        <w:snapToGrid w:val="0"/>
        <w:spacing w:line="360" w:lineRule="auto"/>
        <w:jc w:val="center"/>
        <w:rPr>
          <w:rFonts w:asciiTheme="minorEastAsia" w:hAnsiTheme="minorEastAsia"/>
          <w:b/>
          <w:sz w:val="24"/>
          <w:szCs w:val="24"/>
          <w:shd w:val="clear" w:color="auto" w:fill="FFFFFF"/>
          <w:lang w:eastAsia="zh-CN"/>
        </w:rPr>
      </w:pPr>
      <w:bookmarkStart w:id="7" w:name="_Toc524343454"/>
      <w:r>
        <w:rPr>
          <w:rFonts w:hint="eastAsia" w:asciiTheme="minorEastAsia" w:hAnsiTheme="minorEastAsia"/>
          <w:b/>
          <w:sz w:val="24"/>
          <w:szCs w:val="24"/>
          <w:shd w:val="clear" w:color="auto" w:fill="FFFFFF"/>
          <w:lang w:eastAsia="zh-CN"/>
        </w:rPr>
        <w:t>附录</w:t>
      </w:r>
      <w:r>
        <w:rPr>
          <w:rFonts w:asciiTheme="minorEastAsia" w:hAnsiTheme="minorEastAsia"/>
          <w:b/>
          <w:sz w:val="24"/>
          <w:szCs w:val="24"/>
          <w:shd w:val="clear" w:color="auto" w:fill="FFFFFF"/>
          <w:lang w:eastAsia="zh-CN"/>
        </w:rPr>
        <w:t xml:space="preserve">2  </w:t>
      </w:r>
      <w:bookmarkEnd w:id="7"/>
      <w:r>
        <w:rPr>
          <w:rFonts w:hint="eastAsia" w:asciiTheme="minorEastAsia" w:hAnsiTheme="minorEastAsia"/>
          <w:b/>
          <w:sz w:val="24"/>
          <w:szCs w:val="24"/>
          <w:shd w:val="clear" w:color="auto" w:fill="FFFFFF"/>
          <w:lang w:eastAsia="zh-CN"/>
        </w:rPr>
        <w:t>信誉审查条件</w:t>
      </w:r>
      <w:r>
        <w:rPr>
          <w:rFonts w:asciiTheme="minorEastAsia" w:hAnsiTheme="minorEastAsia"/>
          <w:b/>
          <w:sz w:val="24"/>
          <w:szCs w:val="24"/>
          <w:shd w:val="clear" w:color="auto" w:fill="FFFFFF"/>
          <w:lang w:eastAsia="zh-CN"/>
        </w:rPr>
        <w:t>(</w:t>
      </w:r>
      <w:r>
        <w:rPr>
          <w:rFonts w:hint="eastAsia" w:asciiTheme="minorEastAsia" w:hAnsiTheme="minorEastAsia"/>
          <w:b/>
          <w:sz w:val="24"/>
          <w:szCs w:val="24"/>
          <w:shd w:val="clear" w:color="auto" w:fill="FFFFFF"/>
          <w:lang w:eastAsia="zh-CN"/>
        </w:rPr>
        <w:t>信誉最低要求</w:t>
      </w:r>
      <w:r>
        <w:rPr>
          <w:rFonts w:asciiTheme="minorEastAsia" w:hAnsiTheme="minorEastAsia"/>
          <w:b/>
          <w:sz w:val="24"/>
          <w:szCs w:val="24"/>
          <w:shd w:val="clear" w:color="auto" w:fill="FFFFFF"/>
          <w:lang w:eastAsia="zh-CN"/>
        </w:rPr>
        <w:t>)</w:t>
      </w: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9798" w:type="dxa"/>
            <w:vAlign w:val="center"/>
          </w:tcPr>
          <w:p>
            <w:pPr>
              <w:adjustRightInd w:val="0"/>
              <w:snapToGrid w:val="0"/>
              <w:spacing w:line="360" w:lineRule="auto"/>
              <w:jc w:val="center"/>
              <w:rPr>
                <w:rFonts w:asciiTheme="minorEastAsia" w:hAnsiTheme="minorEastAsia"/>
                <w:b/>
                <w:sz w:val="24"/>
                <w:szCs w:val="24"/>
                <w:shd w:val="clear" w:color="auto" w:fill="FFFFFF"/>
              </w:rPr>
            </w:pPr>
            <w:r>
              <w:rPr>
                <w:rFonts w:hint="eastAsia" w:asciiTheme="minorEastAsia" w:hAnsiTheme="minorEastAsia"/>
                <w:b/>
                <w:sz w:val="24"/>
                <w:szCs w:val="24"/>
                <w:shd w:val="clear" w:color="auto" w:fill="FFFFFF"/>
                <w:lang w:eastAsia="zh-CN"/>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2" w:hRule="atLeast"/>
          <w:jc w:val="center"/>
        </w:trPr>
        <w:tc>
          <w:tcPr>
            <w:tcW w:w="9798" w:type="dxa"/>
            <w:vAlign w:val="center"/>
          </w:tcPr>
          <w:p>
            <w:pPr>
              <w:adjustRightInd w:val="0"/>
              <w:snapToGrid w:val="0"/>
              <w:spacing w:line="360" w:lineRule="auto"/>
              <w:ind w:firstLine="480" w:firstLineChars="200"/>
              <w:jc w:val="both"/>
              <w:rPr>
                <w:rFonts w:asciiTheme="minorEastAsia" w:hAnsiTheme="minorEastAsia"/>
                <w:b/>
                <w:sz w:val="24"/>
                <w:szCs w:val="24"/>
                <w:shd w:val="clear" w:color="auto" w:fill="FFFFFF"/>
                <w:lang w:eastAsia="zh-CN"/>
              </w:rPr>
            </w:pPr>
            <w:bookmarkStart w:id="9" w:name="_GoBack"/>
            <w:r>
              <w:rPr>
                <w:rFonts w:hint="eastAsia" w:ascii="宋体" w:hAnsi="宋体" w:eastAsia="宋体"/>
                <w:sz w:val="24"/>
                <w:szCs w:val="24"/>
                <w:lang w:eastAsia="zh-CN"/>
              </w:rPr>
              <w:t>“信用中国”网站(http://www.creditchina.gov.cn/)中被列入失信被执行人、异常经营名录、税收违法黑名单、政府采购严重违法失信行为记录名单（均不含分公司）的、在全国企业信用信息公示系统（http://www.gsxt.gov.cn）中被列入严重违法失信名单（不含分公司）的投标人，不得参加投标。</w:t>
            </w:r>
            <w:bookmarkEnd w:id="9"/>
          </w:p>
        </w:tc>
      </w:tr>
      <w:bookmarkEnd w:id="2"/>
      <w:bookmarkEnd w:id="3"/>
    </w:tbl>
    <w:p>
      <w:pPr>
        <w:widowControl/>
        <w:rPr>
          <w:rFonts w:asciiTheme="minorEastAsia" w:hAnsiTheme="minorEastAsia"/>
          <w:bCs/>
          <w:sz w:val="52"/>
          <w:szCs w:val="52"/>
          <w:lang w:eastAsia="zh-CN"/>
        </w:rPr>
      </w:pPr>
      <w:r>
        <w:rPr>
          <w:rFonts w:asciiTheme="minorEastAsia" w:hAnsiTheme="minorEastAsia"/>
          <w:b/>
          <w:sz w:val="52"/>
          <w:szCs w:val="52"/>
          <w:lang w:eastAsia="zh-CN"/>
        </w:rPr>
        <w:br w:type="page"/>
      </w:r>
    </w:p>
    <w:p>
      <w:pPr>
        <w:pStyle w:val="5"/>
        <w:ind w:left="0" w:firstLine="0"/>
        <w:rPr>
          <w:rFonts w:ascii="宋体" w:hAnsi="宋体" w:cs="宋体"/>
        </w:rPr>
      </w:pPr>
      <w:r>
        <w:rPr>
          <w:rFonts w:hint="eastAsia" w:ascii="宋体" w:hAnsi="宋体" w:cs="宋体"/>
        </w:rPr>
        <w:t>附件2：评标办法（综合评估法）</w:t>
      </w:r>
    </w:p>
    <w:p>
      <w:pPr>
        <w:autoSpaceDE w:val="0"/>
        <w:autoSpaceDN w:val="0"/>
        <w:adjustRightInd w:val="0"/>
        <w:snapToGrid w:val="0"/>
        <w:spacing w:line="360" w:lineRule="auto"/>
        <w:ind w:right="113"/>
        <w:rPr>
          <w:rFonts w:ascii="宋体" w:hAnsi="宋体" w:cs="宋体"/>
          <w:b/>
          <w:bCs/>
          <w:sz w:val="24"/>
          <w:szCs w:val="32"/>
        </w:rPr>
      </w:pPr>
      <w:r>
        <w:rPr>
          <w:rFonts w:hint="eastAsia" w:ascii="宋体" w:hAnsi="宋体" w:cs="宋体"/>
          <w:b/>
          <w:bCs/>
          <w:sz w:val="24"/>
          <w:szCs w:val="32"/>
        </w:rPr>
        <w:t>评标办法前附表</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917"/>
        <w:gridCol w:w="1607"/>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blHeader/>
          <w:jc w:val="center"/>
        </w:trPr>
        <w:tc>
          <w:tcPr>
            <w:tcW w:w="2524" w:type="dxa"/>
            <w:gridSpan w:val="2"/>
            <w:vAlign w:val="center"/>
          </w:tcPr>
          <w:p>
            <w:pPr>
              <w:adjustRightInd w:val="0"/>
              <w:snapToGrid w:val="0"/>
              <w:jc w:val="center"/>
              <w:rPr>
                <w:rFonts w:ascii="Times New Roman" w:hAnsi="Times New Roman" w:eastAsia="宋体" w:cs="Times New Roman"/>
                <w:b/>
                <w:sz w:val="24"/>
                <w:szCs w:val="24"/>
              </w:rPr>
            </w:pPr>
            <w:r>
              <w:rPr>
                <w:rFonts w:ascii="Times New Roman" w:hAnsi="Times New Roman" w:eastAsia="宋体" w:cs="Times New Roman"/>
                <w:b/>
                <w:sz w:val="24"/>
                <w:szCs w:val="24"/>
              </w:rPr>
              <w:t>条款号</w:t>
            </w:r>
          </w:p>
        </w:tc>
        <w:tc>
          <w:tcPr>
            <w:tcW w:w="6547" w:type="dxa"/>
            <w:vAlign w:val="center"/>
          </w:tcPr>
          <w:p>
            <w:pPr>
              <w:adjustRightInd w:val="0"/>
              <w:snapToGrid w:val="0"/>
              <w:jc w:val="center"/>
              <w:rPr>
                <w:rFonts w:ascii="Times New Roman" w:hAnsi="Times New Roman" w:eastAsia="宋体" w:cs="Times New Roman"/>
                <w:b/>
                <w:sz w:val="24"/>
                <w:szCs w:val="24"/>
              </w:rPr>
            </w:pPr>
            <w:r>
              <w:rPr>
                <w:rFonts w:ascii="Times New Roman" w:hAnsi="Times New Roman" w:eastAsia="宋体" w:cs="Times New Roman"/>
                <w:b/>
                <w:sz w:val="24"/>
                <w:szCs w:val="24"/>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917" w:type="dxa"/>
            <w:vAlign w:val="center"/>
          </w:tcPr>
          <w:p>
            <w:pPr>
              <w:jc w:val="center"/>
              <w:rPr>
                <w:rFonts w:ascii="Times New Roman" w:hAnsi="Times New Roman" w:eastAsia="宋体" w:cs="Times New Roman"/>
                <w:b/>
                <w:sz w:val="24"/>
                <w:szCs w:val="24"/>
              </w:rPr>
            </w:pPr>
            <w:r>
              <w:rPr>
                <w:rFonts w:ascii="Times New Roman" w:hAnsi="Times New Roman" w:eastAsia="宋体" w:cs="Times New Roman"/>
                <w:bCs/>
                <w:sz w:val="24"/>
                <w:szCs w:val="24"/>
              </w:rPr>
              <w:t>1</w:t>
            </w:r>
          </w:p>
        </w:tc>
        <w:tc>
          <w:tcPr>
            <w:tcW w:w="1607" w:type="dxa"/>
            <w:vAlign w:val="center"/>
          </w:tcPr>
          <w:p>
            <w:pPr>
              <w:jc w:val="center"/>
              <w:rPr>
                <w:rFonts w:ascii="Times New Roman" w:hAnsi="Times New Roman" w:eastAsia="宋体" w:cs="Times New Roman"/>
                <w:b/>
                <w:sz w:val="24"/>
                <w:szCs w:val="24"/>
              </w:rPr>
            </w:pPr>
            <w:r>
              <w:rPr>
                <w:rFonts w:ascii="Times New Roman" w:hAnsi="Times New Roman" w:eastAsia="宋体" w:cs="Times New Roman"/>
                <w:sz w:val="24"/>
                <w:szCs w:val="24"/>
              </w:rPr>
              <w:t>评标办法</w:t>
            </w:r>
          </w:p>
        </w:tc>
        <w:tc>
          <w:tcPr>
            <w:tcW w:w="6547" w:type="dxa"/>
            <w:vAlign w:val="center"/>
          </w:tcPr>
          <w:p>
            <w:pPr>
              <w:rPr>
                <w:rFonts w:ascii="宋体" w:hAnsi="宋体" w:eastAsia="宋体"/>
                <w:sz w:val="24"/>
                <w:szCs w:val="24"/>
                <w:lang w:eastAsia="zh-CN"/>
              </w:rPr>
            </w:pPr>
            <w:r>
              <w:rPr>
                <w:rFonts w:ascii="宋体" w:hAnsi="宋体" w:eastAsia="宋体"/>
                <w:sz w:val="24"/>
                <w:szCs w:val="24"/>
                <w:lang w:eastAsia="zh-CN"/>
              </w:rPr>
              <w:t>本条修改为：</w:t>
            </w:r>
          </w:p>
          <w:p>
            <w:pPr>
              <w:rPr>
                <w:rFonts w:ascii="宋体" w:hAnsi="宋体" w:eastAsia="宋体"/>
                <w:sz w:val="24"/>
                <w:szCs w:val="24"/>
                <w:lang w:eastAsia="zh-CN"/>
              </w:rPr>
            </w:pPr>
            <w:r>
              <w:rPr>
                <w:rFonts w:ascii="宋体" w:hAnsi="宋体" w:eastAsia="宋体"/>
                <w:sz w:val="24"/>
                <w:szCs w:val="24"/>
                <w:lang w:eastAsia="zh-CN"/>
              </w:rPr>
              <w:t>本次评标采用综合评估法。评标委员会对满足招标文件实质性要求的投标文件，按照本章第2.2款规定的评分标准进行打分，并按综合得分由高到低顺序推荐1-3名中标候选人。</w:t>
            </w:r>
            <w:r>
              <w:rPr>
                <w:rFonts w:hint="eastAsia" w:ascii="宋体" w:hAnsi="宋体" w:eastAsia="宋体"/>
                <w:sz w:val="24"/>
                <w:szCs w:val="24"/>
                <w:lang w:eastAsia="zh-CN"/>
              </w:rPr>
              <w:t>当综合得分相等时按以下顺序推荐中标候选人：</w:t>
            </w:r>
          </w:p>
          <w:p>
            <w:pPr>
              <w:rPr>
                <w:rFonts w:ascii="宋体" w:hAnsi="宋体" w:eastAsia="宋体"/>
                <w:sz w:val="24"/>
                <w:szCs w:val="24"/>
                <w:lang w:eastAsia="zh-CN"/>
              </w:rPr>
            </w:pPr>
            <w:r>
              <w:rPr>
                <w:rFonts w:ascii="宋体" w:hAnsi="宋体" w:eastAsia="宋体"/>
                <w:sz w:val="24"/>
                <w:szCs w:val="24"/>
                <w:lang w:eastAsia="zh-CN"/>
              </w:rPr>
              <w:t>1、以评标价低的优先</w:t>
            </w:r>
            <w:r>
              <w:rPr>
                <w:rFonts w:hint="eastAsia" w:ascii="宋体" w:hAnsi="宋体" w:eastAsia="宋体"/>
                <w:sz w:val="24"/>
                <w:szCs w:val="24"/>
                <w:lang w:eastAsia="zh-CN"/>
              </w:rPr>
              <w:t>；</w:t>
            </w:r>
          </w:p>
          <w:p>
            <w:pPr>
              <w:rPr>
                <w:rFonts w:ascii="宋体" w:hAnsi="宋体" w:eastAsia="宋体"/>
                <w:sz w:val="24"/>
                <w:szCs w:val="24"/>
                <w:lang w:eastAsia="zh-CN"/>
              </w:rPr>
            </w:pPr>
            <w:r>
              <w:rPr>
                <w:rFonts w:ascii="宋体" w:hAnsi="宋体" w:eastAsia="宋体"/>
                <w:sz w:val="24"/>
                <w:szCs w:val="24"/>
                <w:lang w:eastAsia="zh-CN"/>
              </w:rPr>
              <w:t>2、当评标价也相等时，以技术得分高的优先</w:t>
            </w:r>
            <w:r>
              <w:rPr>
                <w:rFonts w:hint="eastAsia" w:ascii="宋体" w:hAnsi="宋体" w:eastAsia="宋体"/>
                <w:sz w:val="24"/>
                <w:szCs w:val="24"/>
                <w:lang w:eastAsia="zh-CN"/>
              </w:rPr>
              <w:t>；</w:t>
            </w:r>
          </w:p>
          <w:p>
            <w:pPr>
              <w:rPr>
                <w:rFonts w:ascii="宋体" w:hAnsi="宋体" w:eastAsia="宋体"/>
                <w:sz w:val="24"/>
                <w:szCs w:val="24"/>
                <w:lang w:eastAsia="zh-CN"/>
              </w:rPr>
            </w:pPr>
            <w:r>
              <w:rPr>
                <w:rFonts w:ascii="宋体" w:hAnsi="宋体" w:eastAsia="宋体"/>
                <w:sz w:val="24"/>
                <w:szCs w:val="24"/>
                <w:lang w:eastAsia="zh-CN"/>
              </w:rPr>
              <w:t>3、技术得分相等的，由评标委员会投票确定。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917" w:type="dxa"/>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2.1.1</w:t>
            </w:r>
          </w:p>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2.1.3</w:t>
            </w:r>
          </w:p>
        </w:tc>
        <w:tc>
          <w:tcPr>
            <w:tcW w:w="1607" w:type="dxa"/>
            <w:vAlign w:val="center"/>
          </w:tcPr>
          <w:p>
            <w:pPr>
              <w:adjustRightInd w:val="0"/>
              <w:snapToGrid w:val="0"/>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形式评审与响应性评审标准</w:t>
            </w:r>
          </w:p>
        </w:tc>
        <w:tc>
          <w:tcPr>
            <w:tcW w:w="6547" w:type="dxa"/>
            <w:vAlign w:val="center"/>
          </w:tcPr>
          <w:p>
            <w:pPr>
              <w:snapToGrid w:val="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（1）投标文件按照招标文件规定的格式、内容填写，字迹清晰可辨：</w:t>
            </w:r>
          </w:p>
          <w:p>
            <w:pPr>
              <w:snapToGrid w:val="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a.投标函按招标文件规定填报了报价、补遗书编号（如有）；</w:t>
            </w:r>
          </w:p>
          <w:p>
            <w:pPr>
              <w:snapToGrid w:val="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b.投标文件组成齐全完整，内容均按规定填写。</w:t>
            </w:r>
          </w:p>
          <w:p>
            <w:pPr>
              <w:snapToGrid w:val="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（2）投标文件上法定代表人或其委托代理人的签字、投标人的单位章盖章齐全，符合招标文件规定。</w:t>
            </w:r>
          </w:p>
          <w:p>
            <w:pPr>
              <w:snapToGrid w:val="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（3）投标人按照招标文件的规定提供了投标保证金：</w:t>
            </w:r>
          </w:p>
          <w:p>
            <w:pPr>
              <w:snapToGrid w:val="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a.投标保证金金额符合招标文件规定的金额，且投标保证金有效期不少于投标有效期；</w:t>
            </w:r>
          </w:p>
          <w:p>
            <w:pPr>
              <w:snapToGrid w:val="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b.若投标保证金采用电汇或转账形式提交，投标人应在递交投标文件截止时间之前，将投标保证金由投标人的基本账户转入招标人指定账户；</w:t>
            </w:r>
          </w:p>
          <w:p>
            <w:pPr>
              <w:snapToGrid w:val="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c.若投标保证金采用银行保函形式提交，银行保函的格式、开具保函的银行均满足招标文件要求，且在递交投标文件截止时间之前向招标人提交了银行保函原件。</w:t>
            </w:r>
          </w:p>
          <w:p>
            <w:pPr>
              <w:snapToGrid w:val="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d. 若投标保证金采用保证保险或担保保函形式提交，需通过投标人基本账户购买电子保证保险或电子担保保函。投标文件中需附：</w:t>
            </w:r>
            <w:r>
              <w:rPr>
                <w:rFonts w:hint="eastAsia" w:ascii="宋体" w:hAnsi="宋体" w:eastAsia="宋体" w:cs="宋体"/>
                <w:sz w:val="24"/>
                <w:szCs w:val="24"/>
                <w:lang w:eastAsia="zh-CN"/>
              </w:rPr>
              <w:t>①</w:t>
            </w:r>
            <w:r>
              <w:rPr>
                <w:rFonts w:ascii="Times New Roman" w:hAnsi="Times New Roman" w:eastAsia="宋体" w:cs="Times New Roman"/>
                <w:sz w:val="24"/>
                <w:szCs w:val="24"/>
                <w:lang w:eastAsia="zh-CN"/>
              </w:rPr>
              <w:t>保证保险的复印件或电子担保保函的复印件；</w:t>
            </w:r>
            <w:r>
              <w:rPr>
                <w:rFonts w:hint="eastAsia" w:ascii="宋体" w:hAnsi="宋体" w:eastAsia="宋体" w:cs="宋体"/>
                <w:sz w:val="24"/>
                <w:szCs w:val="24"/>
                <w:lang w:eastAsia="zh-CN"/>
              </w:rPr>
              <w:t>②</w:t>
            </w:r>
            <w:r>
              <w:rPr>
                <w:rFonts w:ascii="Times New Roman" w:hAnsi="Times New Roman" w:eastAsia="宋体" w:cs="Times New Roman"/>
                <w:sz w:val="24"/>
                <w:szCs w:val="24"/>
                <w:lang w:eastAsia="zh-CN"/>
              </w:rPr>
              <w:t>购买电子保证保险或电子担保保函凭证的复印件。二者缺一不可。</w:t>
            </w:r>
          </w:p>
          <w:p>
            <w:pPr>
              <w:snapToGrid w:val="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 xml:space="preserve">（4）投标人法定代表人授权委托代理人签署投标文件的，须提交授权委托书，授权委托书的签字盖章符合招标文件规定。 </w:t>
            </w:r>
          </w:p>
          <w:p>
            <w:pPr>
              <w:snapToGrid w:val="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（5）投标人法定代表人亲自签署投标文件的，提供了法定代表人身份证明，法定代表人身份证明的签字盖章符合招标文件规定。</w:t>
            </w:r>
          </w:p>
          <w:p>
            <w:pPr>
              <w:tabs>
                <w:tab w:val="left" w:pos="3060"/>
              </w:tabs>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（6）投标人未以联合体形式投标。</w:t>
            </w:r>
          </w:p>
          <w:p>
            <w:pPr>
              <w:tabs>
                <w:tab w:val="left" w:pos="3060"/>
              </w:tabs>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（7）投标人未对本项目提出分包计划。</w:t>
            </w:r>
          </w:p>
          <w:p>
            <w:pPr>
              <w:tabs>
                <w:tab w:val="left" w:pos="3060"/>
              </w:tabs>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（8）同一投标人未提交两个以上不同的投标文件。</w:t>
            </w:r>
          </w:p>
          <w:p>
            <w:pPr>
              <w:tabs>
                <w:tab w:val="left" w:pos="3060"/>
              </w:tabs>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（9）投标文件载明的招标项目交货期符合招标文件规定。</w:t>
            </w:r>
          </w:p>
          <w:p>
            <w:pPr>
              <w:tabs>
                <w:tab w:val="left" w:pos="3060"/>
              </w:tabs>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（10）投标文件对招标文件的实质性要求和条件作出响应。</w:t>
            </w:r>
          </w:p>
          <w:p>
            <w:pPr>
              <w:tabs>
                <w:tab w:val="left" w:pos="3060"/>
              </w:tabs>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（11）权利义务符合招标文件规定：</w:t>
            </w:r>
          </w:p>
          <w:p>
            <w:pPr>
              <w:tabs>
                <w:tab w:val="left" w:pos="3060"/>
              </w:tabs>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a.投标人应接受招标文件规定的风险划分原则，未提出新的风险划分办法；</w:t>
            </w:r>
          </w:p>
          <w:p>
            <w:pPr>
              <w:tabs>
                <w:tab w:val="left" w:pos="3060"/>
              </w:tabs>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b.投标人未增加招标人的责任范围，或减少投标人义务；</w:t>
            </w:r>
          </w:p>
          <w:p>
            <w:pPr>
              <w:tabs>
                <w:tab w:val="left" w:pos="3060"/>
              </w:tabs>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c.投标人未提出不同的支付办法；</w:t>
            </w:r>
          </w:p>
          <w:p>
            <w:pPr>
              <w:tabs>
                <w:tab w:val="left" w:pos="3060"/>
              </w:tabs>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d.投标人对合同纠纷、事故处理办法未提出异议；</w:t>
            </w:r>
          </w:p>
          <w:p>
            <w:pPr>
              <w:tabs>
                <w:tab w:val="left" w:pos="3060"/>
              </w:tabs>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e.投标人在投标活动中无欺诈行为；</w:t>
            </w:r>
          </w:p>
          <w:p>
            <w:pPr>
              <w:tabs>
                <w:tab w:val="left" w:pos="3060"/>
              </w:tabs>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f.投标人未对合同条款有重要保留。</w:t>
            </w:r>
          </w:p>
          <w:p>
            <w:pPr>
              <w:tabs>
                <w:tab w:val="left" w:pos="3060"/>
              </w:tabs>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(12)投标人名称与营业执照一致，如企业名称有变更的，应提供其变更记录或相关部门的合法批件复印件。</w:t>
            </w:r>
          </w:p>
          <w:p>
            <w:pP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(13)投标报价未超过最高投标限价。</w:t>
            </w:r>
          </w:p>
          <w:p>
            <w:pPr>
              <w:tabs>
                <w:tab w:val="left" w:pos="3060"/>
              </w:tabs>
              <w:snapToGrid w:val="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(14)投标报价中报价的金额能够确定具体数值。</w:t>
            </w:r>
          </w:p>
          <w:p>
            <w:pPr>
              <w:tabs>
                <w:tab w:val="left" w:pos="3060"/>
              </w:tabs>
              <w:snapToGrid w:val="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(15) 同一投标人未提交两个以上不同的投标报价。</w:t>
            </w:r>
          </w:p>
          <w:p>
            <w:pPr>
              <w:tabs>
                <w:tab w:val="left" w:pos="3060"/>
              </w:tabs>
              <w:snapToGrid w:val="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(16) 按招标人给定的招标内容表填报的。</w:t>
            </w:r>
          </w:p>
          <w:p>
            <w:pPr>
              <w:tabs>
                <w:tab w:val="left" w:pos="3060"/>
              </w:tabs>
              <w:snapToGrid w:val="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(17) 投标人根据招标人提供的招标内容表填报完成投标报价和投标函大写金额报价一致的。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917" w:type="dxa"/>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2.1.2</w:t>
            </w:r>
          </w:p>
        </w:tc>
        <w:tc>
          <w:tcPr>
            <w:tcW w:w="1607" w:type="dxa"/>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资格评审</w:t>
            </w:r>
          </w:p>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标准</w:t>
            </w:r>
          </w:p>
        </w:tc>
        <w:tc>
          <w:tcPr>
            <w:tcW w:w="6547" w:type="dxa"/>
            <w:vAlign w:val="center"/>
          </w:tcPr>
          <w:p>
            <w:pPr>
              <w:tabs>
                <w:tab w:val="left" w:pos="3060"/>
              </w:tabs>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（1）本次招标要求投标人须满足本公告附件1要求的资格审查条件，并具有与本招标项目相应的供货能力；</w:t>
            </w:r>
          </w:p>
          <w:p>
            <w:pPr>
              <w:tabs>
                <w:tab w:val="left" w:pos="3060"/>
              </w:tabs>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（2）投标人的信誉符合招标文件规定；</w:t>
            </w:r>
          </w:p>
          <w:p>
            <w:pPr>
              <w:tabs>
                <w:tab w:val="left" w:pos="3060"/>
              </w:tabs>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（3）投标人不存在第二章“投标人须知”第1.4.3项和1.4.4项规定的任何一种情形。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917" w:type="dxa"/>
            <w:vAlign w:val="center"/>
          </w:tcPr>
          <w:p>
            <w:pPr>
              <w:wordWrap w:val="0"/>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shd w:val="clear" w:color="auto" w:fill="FFFFFF" w:themeFill="background1"/>
              </w:rPr>
              <w:t>2.2</w:t>
            </w:r>
          </w:p>
        </w:tc>
        <w:tc>
          <w:tcPr>
            <w:tcW w:w="8154" w:type="dxa"/>
            <w:gridSpan w:val="2"/>
            <w:vAlign w:val="center"/>
          </w:tcPr>
          <w:p>
            <w:pPr>
              <w:wordWrap w:val="0"/>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shd w:val="clear" w:color="auto" w:fill="FFFFFF" w:themeFill="background1"/>
              </w:rPr>
              <w:t>详细评审标准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917" w:type="dxa"/>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2.3.1</w:t>
            </w:r>
          </w:p>
        </w:tc>
        <w:tc>
          <w:tcPr>
            <w:tcW w:w="1607" w:type="dxa"/>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分值构成</w:t>
            </w:r>
          </w:p>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（总分100分）</w:t>
            </w:r>
          </w:p>
        </w:tc>
        <w:tc>
          <w:tcPr>
            <w:tcW w:w="6547" w:type="dxa"/>
            <w:vAlign w:val="center"/>
          </w:tcPr>
          <w:p>
            <w:pPr>
              <w:jc w:val="both"/>
              <w:rPr>
                <w:rFonts w:ascii="Times New Roman" w:hAnsi="Times New Roman" w:eastAsia="宋体" w:cs="Times New Roman"/>
                <w:b/>
                <w:sz w:val="24"/>
                <w:szCs w:val="24"/>
                <w:lang w:eastAsia="zh-CN"/>
              </w:rPr>
            </w:pPr>
            <w:r>
              <w:rPr>
                <w:rFonts w:ascii="Times New Roman" w:hAnsi="Times New Roman" w:eastAsia="宋体" w:cs="Times New Roman"/>
                <w:b/>
                <w:sz w:val="24"/>
                <w:szCs w:val="24"/>
                <w:lang w:eastAsia="zh-CN"/>
              </w:rPr>
              <w:t>评分分值构成：</w:t>
            </w:r>
          </w:p>
          <w:p>
            <w:pPr>
              <w:jc w:val="both"/>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技术部分：60分</w:t>
            </w:r>
          </w:p>
          <w:p>
            <w:pPr>
              <w:adjustRightInd w:val="0"/>
              <w:snapToGrid w:val="0"/>
              <w:jc w:val="both"/>
              <w:rPr>
                <w:rFonts w:ascii="Times New Roman" w:hAnsi="Times New Roman" w:eastAsia="宋体" w:cs="Times New Roman"/>
                <w:sz w:val="24"/>
                <w:szCs w:val="24"/>
              </w:rPr>
            </w:pPr>
            <w:r>
              <w:rPr>
                <w:rFonts w:ascii="Times New Roman" w:hAnsi="Times New Roman" w:eastAsia="宋体" w:cs="Times New Roman"/>
                <w:bCs/>
                <w:sz w:val="24"/>
                <w:szCs w:val="24"/>
              </w:rPr>
              <w:t>投标报价：40分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917" w:type="dxa"/>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2.3.2</w:t>
            </w:r>
          </w:p>
        </w:tc>
        <w:tc>
          <w:tcPr>
            <w:tcW w:w="1607" w:type="dxa"/>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评标基准价</w:t>
            </w:r>
          </w:p>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计算方法</w:t>
            </w:r>
          </w:p>
        </w:tc>
        <w:tc>
          <w:tcPr>
            <w:tcW w:w="6547" w:type="dxa"/>
            <w:vAlign w:val="center"/>
          </w:tcPr>
          <w:p>
            <w:pPr>
              <w:pStyle w:val="2"/>
              <w:ind w:left="0" w:leftChars="0" w:firstLine="0" w:firstLineChars="0"/>
              <w:rPr>
                <w:sz w:val="24"/>
              </w:rPr>
            </w:pPr>
            <w:r>
              <w:rPr>
                <w:sz w:val="24"/>
              </w:rPr>
              <w:t>评标基准价的计算：</w:t>
            </w:r>
          </w:p>
          <w:p>
            <w:pPr>
              <w:pStyle w:val="2"/>
              <w:ind w:left="0" w:leftChars="0" w:firstLine="0" w:firstLineChars="0"/>
              <w:rPr>
                <w:sz w:val="24"/>
              </w:rPr>
            </w:pPr>
            <w:r>
              <w:rPr>
                <w:sz w:val="24"/>
              </w:rPr>
              <w:t>1、评标价的确定：</w:t>
            </w:r>
          </w:p>
          <w:p>
            <w:pPr>
              <w:pStyle w:val="2"/>
              <w:ind w:left="0" w:leftChars="0" w:firstLine="0" w:firstLineChars="0"/>
              <w:rPr>
                <w:sz w:val="24"/>
              </w:rPr>
            </w:pPr>
            <w:r>
              <w:rPr>
                <w:sz w:val="24"/>
              </w:rPr>
              <w:t>评标价=投标函文字报价</w:t>
            </w:r>
          </w:p>
          <w:p>
            <w:pPr>
              <w:pStyle w:val="2"/>
              <w:ind w:left="0" w:leftChars="0" w:firstLine="0" w:firstLineChars="0"/>
              <w:rPr>
                <w:sz w:val="24"/>
              </w:rPr>
            </w:pPr>
            <w:r>
              <w:rPr>
                <w:sz w:val="24"/>
              </w:rPr>
              <w:t>2、评标价平均值的计算：</w:t>
            </w:r>
          </w:p>
          <w:p>
            <w:pPr>
              <w:pStyle w:val="2"/>
              <w:ind w:left="0" w:leftChars="0" w:firstLine="0" w:firstLineChars="0"/>
              <w:rPr>
                <w:sz w:val="24"/>
              </w:rPr>
            </w:pPr>
            <w:r>
              <w:rPr>
                <w:sz w:val="24"/>
              </w:rPr>
              <w:t>通过初步评审的所有投标人的评标价去掉规定个数的最高值和最低值后的算术平均值即为评标价平均值。</w:t>
            </w:r>
          </w:p>
          <w:p>
            <w:pPr>
              <w:snapToGrid w:val="0"/>
              <w:rPr>
                <w:rFonts w:ascii="Times New Roman" w:hAnsi="Times New Roman" w:eastAsia="宋体" w:cs="Times New Roman"/>
                <w:spacing w:val="-4"/>
                <w:sz w:val="24"/>
                <w:szCs w:val="24"/>
                <w:lang w:eastAsia="zh-CN"/>
              </w:rPr>
            </w:pPr>
            <w:r>
              <w:rPr>
                <w:rFonts w:ascii="Times New Roman" w:hAnsi="Times New Roman" w:eastAsia="宋体" w:cs="Times New Roman"/>
                <w:spacing w:val="-4"/>
                <w:sz w:val="24"/>
                <w:szCs w:val="24"/>
                <w:lang w:eastAsia="zh-CN"/>
              </w:rPr>
              <w:t xml:space="preserve">a、如果参与评标价平均值计算的投标人数量＜6家时，计算评标价平均值时不去最高值和最低值。 </w:t>
            </w:r>
          </w:p>
          <w:p>
            <w:pPr>
              <w:snapToGrid w:val="0"/>
              <w:rPr>
                <w:rFonts w:ascii="Times New Roman" w:hAnsi="Times New Roman" w:eastAsia="宋体" w:cs="Times New Roman"/>
                <w:spacing w:val="-4"/>
                <w:sz w:val="24"/>
                <w:szCs w:val="24"/>
                <w:lang w:eastAsia="zh-CN"/>
              </w:rPr>
            </w:pPr>
            <w:r>
              <w:rPr>
                <w:rFonts w:ascii="Times New Roman" w:hAnsi="Times New Roman" w:eastAsia="宋体" w:cs="Times New Roman"/>
                <w:spacing w:val="-4"/>
                <w:sz w:val="24"/>
                <w:szCs w:val="24"/>
                <w:lang w:eastAsia="zh-CN"/>
              </w:rPr>
              <w:t xml:space="preserve">b、如果6家≤参与评标价平均值计算的投标人数量＜10家时，计算评标价平均值时去掉1个最高值和1个最低值。 </w:t>
            </w:r>
          </w:p>
          <w:p>
            <w:pPr>
              <w:snapToGrid w:val="0"/>
              <w:rPr>
                <w:rFonts w:ascii="Times New Roman" w:hAnsi="Times New Roman" w:eastAsia="宋体" w:cs="Times New Roman"/>
                <w:spacing w:val="-4"/>
                <w:sz w:val="24"/>
                <w:szCs w:val="24"/>
                <w:lang w:eastAsia="zh-CN"/>
              </w:rPr>
            </w:pPr>
            <w:r>
              <w:rPr>
                <w:rFonts w:ascii="Times New Roman" w:hAnsi="Times New Roman" w:eastAsia="宋体" w:cs="Times New Roman"/>
                <w:spacing w:val="-4"/>
                <w:sz w:val="24"/>
                <w:szCs w:val="24"/>
                <w:lang w:eastAsia="zh-CN"/>
              </w:rPr>
              <w:t xml:space="preserve">c、如果10家≤参与评标价平均值计算的投标人数量＜20家时，计算评标价平均值时去掉2个最高值和2个最低值； </w:t>
            </w:r>
          </w:p>
          <w:p>
            <w:pPr>
              <w:snapToGrid w:val="0"/>
              <w:rPr>
                <w:rFonts w:ascii="Times New Roman" w:hAnsi="Times New Roman" w:eastAsia="宋体" w:cs="Times New Roman"/>
                <w:spacing w:val="-4"/>
                <w:sz w:val="24"/>
                <w:szCs w:val="24"/>
                <w:lang w:eastAsia="zh-CN"/>
              </w:rPr>
            </w:pPr>
            <w:r>
              <w:rPr>
                <w:rFonts w:ascii="Times New Roman" w:hAnsi="Times New Roman" w:eastAsia="宋体" w:cs="Times New Roman"/>
                <w:spacing w:val="-4"/>
                <w:sz w:val="24"/>
                <w:szCs w:val="24"/>
                <w:lang w:eastAsia="zh-CN"/>
              </w:rPr>
              <w:t xml:space="preserve">d、如果20家≤参与评标价平均值计算的投标人数量＜30家时，计算评标价平均值时去掉3个最高值和3个最低值； </w:t>
            </w:r>
          </w:p>
          <w:p>
            <w:pPr>
              <w:pStyle w:val="2"/>
              <w:ind w:left="0" w:leftChars="0" w:firstLine="0" w:firstLineChars="0"/>
              <w:rPr>
                <w:spacing w:val="-4"/>
                <w:sz w:val="24"/>
              </w:rPr>
            </w:pPr>
            <w:r>
              <w:rPr>
                <w:spacing w:val="-4"/>
                <w:sz w:val="24"/>
              </w:rPr>
              <w:t>e、如果30家≤参与评标价平均值计算的投标人数量时，计算评标价平均值时去掉5个最高值和5个最低值；</w:t>
            </w:r>
          </w:p>
          <w:p>
            <w:pPr>
              <w:pStyle w:val="2"/>
              <w:ind w:left="0" w:leftChars="0" w:firstLine="0" w:firstLineChars="0"/>
              <w:rPr>
                <w:sz w:val="24"/>
              </w:rPr>
            </w:pPr>
            <w:r>
              <w:rPr>
                <w:sz w:val="24"/>
              </w:rPr>
              <w:t xml:space="preserve">3、评标基准价的确定： </w:t>
            </w:r>
          </w:p>
          <w:p>
            <w:pPr>
              <w:pStyle w:val="2"/>
              <w:ind w:left="0" w:leftChars="0" w:firstLine="0" w:firstLineChars="0"/>
              <w:rPr>
                <w:sz w:val="24"/>
              </w:rPr>
            </w:pPr>
            <w:r>
              <w:rPr>
                <w:sz w:val="24"/>
              </w:rPr>
              <w:t>评标价平均值作为评标基准价。</w:t>
            </w:r>
          </w:p>
          <w:p>
            <w:pPr>
              <w:pStyle w:val="2"/>
              <w:ind w:left="0" w:leftChars="0" w:firstLine="0" w:firstLineChars="0"/>
              <w:rPr>
                <w:sz w:val="24"/>
              </w:rPr>
            </w:pPr>
            <w:r>
              <w:rPr>
                <w:sz w:val="24"/>
              </w:rPr>
              <w:t>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917" w:type="dxa"/>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w:t>
            </w:r>
            <w:r>
              <w:rPr>
                <w:rFonts w:ascii="Times New Roman" w:hAnsi="Times New Roman" w:eastAsia="宋体" w:cs="Times New Roman"/>
                <w:sz w:val="24"/>
                <w:szCs w:val="24"/>
                <w:lang w:eastAsia="zh-CN"/>
              </w:rPr>
              <w:t>3</w:t>
            </w:r>
            <w:r>
              <w:rPr>
                <w:rFonts w:ascii="Times New Roman" w:hAnsi="Times New Roman" w:eastAsia="宋体" w:cs="Times New Roman"/>
                <w:sz w:val="24"/>
                <w:szCs w:val="24"/>
              </w:rPr>
              <w:t>.3</w:t>
            </w:r>
          </w:p>
        </w:tc>
        <w:tc>
          <w:tcPr>
            <w:tcW w:w="1607" w:type="dxa"/>
            <w:vAlign w:val="center"/>
          </w:tcPr>
          <w:p>
            <w:pPr>
              <w:adjustRightInd w:val="0"/>
              <w:snapToGrid w:val="0"/>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评标价的偏差率计算公式</w:t>
            </w:r>
          </w:p>
        </w:tc>
        <w:tc>
          <w:tcPr>
            <w:tcW w:w="6547" w:type="dxa"/>
            <w:vAlign w:val="center"/>
          </w:tcPr>
          <w:p>
            <w:pPr>
              <w:adjustRightInd w:val="0"/>
              <w:snapToGrid w:val="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917" w:type="dxa"/>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3.6.1</w:t>
            </w:r>
          </w:p>
        </w:tc>
        <w:tc>
          <w:tcPr>
            <w:tcW w:w="1607" w:type="dxa"/>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信息查询</w:t>
            </w:r>
          </w:p>
        </w:tc>
        <w:tc>
          <w:tcPr>
            <w:tcW w:w="6547" w:type="dxa"/>
            <w:vAlign w:val="center"/>
          </w:tcPr>
          <w:p>
            <w:pPr>
              <w:adjustRightInd w:val="0"/>
              <w:snapToGrid w:val="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在评标过程中，评标委员会应对以下信息进行查询：</w:t>
            </w:r>
          </w:p>
          <w:p>
            <w:pPr>
              <w:snapToGrid w:val="0"/>
              <w:ind w:firstLine="240" w:firstLineChars="1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评标委员会评标时在“国家企业信用信息公示系统”和“信用中国”网站对投标人的信用情况进行查询，若投标人存在“国家企业信用信息公示系统” 被列入严重违法失信企业名单（不含分公司）或在“信用中国”网站“被列入失信被执行人、经营异常名录信息、重大税收违法失信主体和政府采购严重违法失信行为记录名单（均不含分公司）情形的，评标委员会应否决其投标。</w:t>
            </w:r>
          </w:p>
          <w:p>
            <w:pPr>
              <w:snapToGrid w:val="0"/>
              <w:ind w:firstLine="240" w:firstLineChars="1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若投标人未提供相关网页截图或所附截图结果与核查结果不一致的，评标委员会应否决其投标。</w:t>
            </w:r>
          </w:p>
        </w:tc>
      </w:tr>
    </w:tbl>
    <w:p>
      <w:pPr>
        <w:autoSpaceDE w:val="0"/>
        <w:autoSpaceDN w:val="0"/>
        <w:adjustRightInd w:val="0"/>
        <w:snapToGrid w:val="0"/>
        <w:spacing w:line="360" w:lineRule="auto"/>
        <w:ind w:left="119" w:right="113"/>
        <w:rPr>
          <w:rFonts w:ascii="宋体" w:hAnsi="宋体" w:cs="宋体"/>
          <w:szCs w:val="21"/>
          <w:lang w:eastAsia="zh-CN"/>
        </w:rPr>
      </w:pPr>
    </w:p>
    <w:p>
      <w:pPr>
        <w:rPr>
          <w:rFonts w:ascii="宋体" w:hAnsi="宋体" w:cs="宋体"/>
          <w:b/>
          <w:bCs/>
          <w:szCs w:val="21"/>
          <w:lang w:eastAsia="zh-CN"/>
        </w:rPr>
      </w:pPr>
      <w:r>
        <w:rPr>
          <w:rFonts w:hint="eastAsia" w:ascii="宋体" w:hAnsi="宋体" w:cs="宋体"/>
          <w:b/>
          <w:bCs/>
          <w:szCs w:val="21"/>
          <w:lang w:eastAsia="zh-CN"/>
        </w:rPr>
        <w:br w:type="page"/>
      </w:r>
    </w:p>
    <w:p>
      <w:pPr>
        <w:pStyle w:val="16"/>
        <w:jc w:val="left"/>
        <w:outlineLvl w:val="0"/>
        <w:rPr>
          <w:rFonts w:ascii="宋体" w:hAnsi="宋体" w:eastAsia="宋体" w:cs="宋体"/>
          <w:b w:val="0"/>
          <w:bCs/>
          <w:sz w:val="24"/>
          <w:szCs w:val="24"/>
        </w:rPr>
      </w:pPr>
      <w:r>
        <w:rPr>
          <w:rFonts w:hint="eastAsia" w:ascii="宋体" w:hAnsi="宋体" w:eastAsia="宋体" w:cs="宋体"/>
          <w:bCs/>
          <w:sz w:val="24"/>
          <w:szCs w:val="24"/>
        </w:rPr>
        <w:t>评分标准</w:t>
      </w:r>
    </w:p>
    <w:p>
      <w:pPr>
        <w:pStyle w:val="16"/>
        <w:jc w:val="left"/>
        <w:outlineLvl w:val="0"/>
        <w:rPr>
          <w:rFonts w:ascii="宋体" w:hAnsi="宋体" w:eastAsia="宋体" w:cs="宋体"/>
          <w:szCs w:val="21"/>
        </w:rPr>
      </w:pP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85"/>
        <w:gridCol w:w="1128"/>
        <w:gridCol w:w="1677"/>
        <w:gridCol w:w="3583"/>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6" w:type="dxa"/>
            <w:gridSpan w:val="2"/>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条款号</w:t>
            </w:r>
          </w:p>
        </w:tc>
        <w:tc>
          <w:tcPr>
            <w:tcW w:w="2805" w:type="dxa"/>
            <w:gridSpan w:val="2"/>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评分因素</w:t>
            </w:r>
          </w:p>
        </w:tc>
        <w:tc>
          <w:tcPr>
            <w:tcW w:w="4800" w:type="dxa"/>
            <w:gridSpan w:val="2"/>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restart"/>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技术部分</w:t>
            </w:r>
          </w:p>
        </w:tc>
        <w:tc>
          <w:tcPr>
            <w:tcW w:w="785" w:type="dxa"/>
            <w:vMerge w:val="restart"/>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2.3.4（</w:t>
            </w:r>
            <w:r>
              <w:rPr>
                <w:rFonts w:ascii="Times New Roman" w:hAnsi="Times New Roman" w:eastAsia="宋体" w:cs="Times New Roman"/>
                <w:bCs/>
                <w:sz w:val="24"/>
                <w:szCs w:val="24"/>
                <w:lang w:eastAsia="zh-CN"/>
              </w:rPr>
              <w:t>1</w:t>
            </w:r>
            <w:r>
              <w:rPr>
                <w:rFonts w:ascii="Times New Roman" w:hAnsi="Times New Roman" w:eastAsia="宋体" w:cs="Times New Roman"/>
                <w:bCs/>
                <w:sz w:val="24"/>
                <w:szCs w:val="24"/>
              </w:rPr>
              <w:t>）</w:t>
            </w:r>
          </w:p>
        </w:tc>
        <w:tc>
          <w:tcPr>
            <w:tcW w:w="1128" w:type="dxa"/>
            <w:vMerge w:val="restart"/>
            <w:vAlign w:val="center"/>
          </w:tcPr>
          <w:p>
            <w:pPr>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服务方案评分标准</w:t>
            </w:r>
          </w:p>
          <w:p>
            <w:pPr>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（60分）</w:t>
            </w:r>
          </w:p>
        </w:tc>
        <w:tc>
          <w:tcPr>
            <w:tcW w:w="1677" w:type="dxa"/>
            <w:vMerge w:val="restart"/>
            <w:vAlign w:val="center"/>
          </w:tcPr>
          <w:p>
            <w:pPr>
              <w:jc w:val="center"/>
              <w:rPr>
                <w:rFonts w:ascii="Times New Roman" w:hAnsi="Times New Roman" w:eastAsia="宋体" w:cs="Times New Roman"/>
                <w:spacing w:val="12"/>
                <w:sz w:val="24"/>
                <w:szCs w:val="24"/>
                <w:lang w:eastAsia="zh-CN"/>
              </w:rPr>
            </w:pPr>
            <w:r>
              <w:rPr>
                <w:rFonts w:ascii="Times New Roman" w:hAnsi="Times New Roman" w:eastAsia="宋体" w:cs="Times New Roman"/>
                <w:spacing w:val="12"/>
                <w:sz w:val="24"/>
                <w:szCs w:val="24"/>
                <w:lang w:eastAsia="zh-CN"/>
              </w:rPr>
              <w:t>投标</w:t>
            </w:r>
            <w:r>
              <w:rPr>
                <w:rFonts w:hint="eastAsia" w:ascii="Times New Roman" w:hAnsi="Times New Roman" w:eastAsia="宋体" w:cs="Times New Roman"/>
                <w:spacing w:val="12"/>
                <w:sz w:val="24"/>
                <w:szCs w:val="24"/>
                <w:lang w:eastAsia="zh-CN"/>
              </w:rPr>
              <w:t>人综合能力</w:t>
            </w:r>
            <w:r>
              <w:rPr>
                <w:rFonts w:ascii="Times New Roman" w:hAnsi="Times New Roman" w:eastAsia="宋体" w:cs="Times New Roman"/>
                <w:spacing w:val="12"/>
                <w:sz w:val="24"/>
                <w:szCs w:val="24"/>
                <w:lang w:eastAsia="zh-CN"/>
              </w:rPr>
              <w:t>评价</w:t>
            </w:r>
          </w:p>
          <w:p>
            <w:pPr>
              <w:jc w:val="center"/>
              <w:rPr>
                <w:lang w:eastAsia="zh-CN"/>
              </w:rPr>
            </w:pPr>
            <w:r>
              <w:rPr>
                <w:rFonts w:hint="eastAsia" w:ascii="Times New Roman" w:hAnsi="Times New Roman" w:cs="Times New Roman"/>
                <w:bCs/>
                <w:sz w:val="24"/>
                <w:szCs w:val="24"/>
                <w:lang w:eastAsia="zh-CN"/>
              </w:rPr>
              <w:t>(2</w:t>
            </w:r>
            <w:r>
              <w:rPr>
                <w:rFonts w:ascii="Times New Roman" w:hAnsi="Times New Roman" w:cs="Times New Roman"/>
                <w:bCs/>
                <w:sz w:val="24"/>
                <w:szCs w:val="24"/>
                <w:lang w:eastAsia="zh-CN"/>
              </w:rPr>
              <w:t>5</w:t>
            </w:r>
            <w:r>
              <w:rPr>
                <w:rFonts w:hint="eastAsia" w:ascii="Times New Roman" w:hAnsi="Times New Roman" w:cs="Times New Roman"/>
                <w:bCs/>
                <w:sz w:val="24"/>
                <w:szCs w:val="24"/>
                <w:lang w:eastAsia="zh-CN"/>
              </w:rPr>
              <w:t>分)</w:t>
            </w:r>
          </w:p>
        </w:tc>
        <w:tc>
          <w:tcPr>
            <w:tcW w:w="3583" w:type="dxa"/>
            <w:vAlign w:val="center"/>
          </w:tcPr>
          <w:p>
            <w:pPr>
              <w:jc w:val="both"/>
              <w:rPr>
                <w:rFonts w:ascii="Times New Roman" w:hAnsi="Times New Roman" w:eastAsia="宋体" w:cs="Times New Roman"/>
                <w:bCs/>
                <w:sz w:val="24"/>
                <w:szCs w:val="24"/>
                <w:lang w:eastAsia="zh-CN"/>
              </w:rPr>
            </w:pPr>
            <w:r>
              <w:rPr>
                <w:rFonts w:hint="eastAsia" w:ascii="Times New Roman" w:hAnsi="Times New Roman" w:eastAsia="宋体" w:cs="Times New Roman"/>
                <w:spacing w:val="12"/>
                <w:sz w:val="24"/>
                <w:szCs w:val="24"/>
                <w:lang w:eastAsia="zh-CN"/>
              </w:rPr>
              <w:t>质保期限长、故障响应时间短、常驻服务人员多，投标人综合能力强，能很好满足招标文件要求</w:t>
            </w:r>
          </w:p>
        </w:tc>
        <w:tc>
          <w:tcPr>
            <w:tcW w:w="1217" w:type="dxa"/>
            <w:vAlign w:val="center"/>
          </w:tcPr>
          <w:p>
            <w:pPr>
              <w:pStyle w:val="18"/>
              <w:spacing w:before="240" w:after="120"/>
              <w:jc w:val="center"/>
              <w:rPr>
                <w:rFonts w:ascii="Times New Roman" w:hAnsi="Times New Roman"/>
                <w:bCs/>
              </w:rPr>
            </w:pPr>
            <w:r>
              <w:rPr>
                <w:rFonts w:ascii="Times New Roman" w:hAnsi="Times New Roman"/>
                <w:bCs/>
              </w:rPr>
              <w:t>21.0-25.0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Times New Roman" w:hAnsi="Times New Roman" w:eastAsia="宋体" w:cs="Times New Roman"/>
                <w:bCs/>
                <w:sz w:val="24"/>
                <w:szCs w:val="24"/>
              </w:rPr>
            </w:pPr>
          </w:p>
        </w:tc>
        <w:tc>
          <w:tcPr>
            <w:tcW w:w="785" w:type="dxa"/>
            <w:vMerge w:val="continue"/>
            <w:vAlign w:val="center"/>
          </w:tcPr>
          <w:p>
            <w:pPr>
              <w:jc w:val="center"/>
              <w:rPr>
                <w:rFonts w:ascii="Times New Roman" w:hAnsi="Times New Roman" w:eastAsia="宋体" w:cs="Times New Roman"/>
                <w:bCs/>
                <w:sz w:val="24"/>
                <w:szCs w:val="24"/>
              </w:rPr>
            </w:pPr>
          </w:p>
        </w:tc>
        <w:tc>
          <w:tcPr>
            <w:tcW w:w="1128" w:type="dxa"/>
            <w:vMerge w:val="continue"/>
            <w:vAlign w:val="center"/>
          </w:tcPr>
          <w:p>
            <w:pPr>
              <w:jc w:val="center"/>
              <w:rPr>
                <w:rFonts w:ascii="Times New Roman" w:hAnsi="Times New Roman" w:eastAsia="宋体" w:cs="Times New Roman"/>
                <w:bCs/>
                <w:sz w:val="24"/>
                <w:szCs w:val="24"/>
              </w:rPr>
            </w:pPr>
          </w:p>
        </w:tc>
        <w:tc>
          <w:tcPr>
            <w:tcW w:w="1677" w:type="dxa"/>
            <w:vMerge w:val="continue"/>
            <w:vAlign w:val="center"/>
          </w:tcPr>
          <w:p>
            <w:pPr>
              <w:jc w:val="center"/>
              <w:rPr>
                <w:rFonts w:ascii="Times New Roman" w:hAnsi="Times New Roman" w:eastAsia="宋体" w:cs="Times New Roman"/>
                <w:bCs/>
                <w:sz w:val="24"/>
                <w:szCs w:val="24"/>
              </w:rPr>
            </w:pPr>
          </w:p>
        </w:tc>
        <w:tc>
          <w:tcPr>
            <w:tcW w:w="3583" w:type="dxa"/>
            <w:vAlign w:val="center"/>
          </w:tcPr>
          <w:p>
            <w:pPr>
              <w:jc w:val="both"/>
              <w:rPr>
                <w:rFonts w:ascii="Times New Roman" w:hAnsi="Times New Roman" w:eastAsia="宋体" w:cs="Times New Roman"/>
                <w:bCs/>
                <w:sz w:val="24"/>
                <w:szCs w:val="24"/>
                <w:lang w:eastAsia="zh-CN"/>
              </w:rPr>
            </w:pPr>
            <w:r>
              <w:rPr>
                <w:rFonts w:hint="eastAsia" w:ascii="Times New Roman" w:hAnsi="Times New Roman" w:eastAsia="宋体" w:cs="Times New Roman"/>
                <w:spacing w:val="12"/>
                <w:sz w:val="24"/>
                <w:szCs w:val="24"/>
                <w:lang w:eastAsia="zh-CN"/>
              </w:rPr>
              <w:t>质保期限较长、故障响应时间较短、常驻服务人员较多，投标人综合能力较强，能较好满足招标文件要求</w:t>
            </w:r>
          </w:p>
        </w:tc>
        <w:tc>
          <w:tcPr>
            <w:tcW w:w="1217" w:type="dxa"/>
            <w:vAlign w:val="center"/>
          </w:tcPr>
          <w:p>
            <w:pPr>
              <w:pStyle w:val="18"/>
              <w:spacing w:before="240" w:after="120"/>
              <w:jc w:val="center"/>
              <w:rPr>
                <w:rFonts w:ascii="Times New Roman" w:hAnsi="Times New Roman"/>
                <w:bCs/>
              </w:rPr>
            </w:pPr>
            <w:r>
              <w:rPr>
                <w:rFonts w:ascii="Times New Roman" w:hAnsi="Times New Roman"/>
                <w:bCs/>
              </w:rPr>
              <w:t>18.0-21.0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Times New Roman" w:hAnsi="Times New Roman" w:eastAsia="宋体" w:cs="Times New Roman"/>
                <w:bCs/>
                <w:sz w:val="24"/>
                <w:szCs w:val="24"/>
              </w:rPr>
            </w:pPr>
          </w:p>
        </w:tc>
        <w:tc>
          <w:tcPr>
            <w:tcW w:w="785" w:type="dxa"/>
            <w:vMerge w:val="continue"/>
            <w:vAlign w:val="center"/>
          </w:tcPr>
          <w:p>
            <w:pPr>
              <w:jc w:val="center"/>
              <w:rPr>
                <w:rFonts w:ascii="Times New Roman" w:hAnsi="Times New Roman" w:eastAsia="宋体" w:cs="Times New Roman"/>
                <w:bCs/>
                <w:sz w:val="24"/>
                <w:szCs w:val="24"/>
              </w:rPr>
            </w:pPr>
          </w:p>
        </w:tc>
        <w:tc>
          <w:tcPr>
            <w:tcW w:w="1128" w:type="dxa"/>
            <w:vMerge w:val="continue"/>
            <w:vAlign w:val="center"/>
          </w:tcPr>
          <w:p>
            <w:pPr>
              <w:jc w:val="center"/>
              <w:rPr>
                <w:rFonts w:ascii="Times New Roman" w:hAnsi="Times New Roman" w:eastAsia="宋体" w:cs="Times New Roman"/>
                <w:bCs/>
                <w:sz w:val="24"/>
                <w:szCs w:val="24"/>
              </w:rPr>
            </w:pPr>
          </w:p>
        </w:tc>
        <w:tc>
          <w:tcPr>
            <w:tcW w:w="1677" w:type="dxa"/>
            <w:vMerge w:val="continue"/>
            <w:vAlign w:val="center"/>
          </w:tcPr>
          <w:p>
            <w:pPr>
              <w:jc w:val="center"/>
              <w:rPr>
                <w:rFonts w:ascii="Times New Roman" w:hAnsi="Times New Roman" w:eastAsia="宋体" w:cs="Times New Roman"/>
                <w:bCs/>
                <w:sz w:val="24"/>
                <w:szCs w:val="24"/>
              </w:rPr>
            </w:pPr>
          </w:p>
        </w:tc>
        <w:tc>
          <w:tcPr>
            <w:tcW w:w="3583" w:type="dxa"/>
            <w:vAlign w:val="center"/>
          </w:tcPr>
          <w:p>
            <w:pPr>
              <w:jc w:val="both"/>
              <w:rPr>
                <w:rFonts w:ascii="Times New Roman" w:hAnsi="Times New Roman" w:eastAsia="宋体" w:cs="Times New Roman"/>
                <w:bCs/>
                <w:sz w:val="24"/>
                <w:szCs w:val="24"/>
                <w:lang w:eastAsia="zh-CN"/>
              </w:rPr>
            </w:pPr>
            <w:r>
              <w:rPr>
                <w:rFonts w:hint="eastAsia" w:ascii="Times New Roman" w:hAnsi="Times New Roman" w:eastAsia="宋体" w:cs="Times New Roman"/>
                <w:spacing w:val="12"/>
                <w:sz w:val="24"/>
                <w:szCs w:val="24"/>
                <w:lang w:eastAsia="zh-CN"/>
              </w:rPr>
              <w:t>质保期限短、故障响应时间长、常驻服务人少，投标人综合能力一般，满足招标文件要求</w:t>
            </w:r>
          </w:p>
        </w:tc>
        <w:tc>
          <w:tcPr>
            <w:tcW w:w="1217" w:type="dxa"/>
            <w:vAlign w:val="center"/>
          </w:tcPr>
          <w:p>
            <w:pPr>
              <w:pStyle w:val="18"/>
              <w:spacing w:before="240" w:after="120"/>
              <w:jc w:val="center"/>
              <w:rPr>
                <w:rFonts w:ascii="Times New Roman" w:hAnsi="Times New Roman"/>
                <w:bCs/>
              </w:rPr>
            </w:pPr>
            <w:r>
              <w:rPr>
                <w:rFonts w:ascii="Times New Roman" w:hAnsi="Times New Roman"/>
                <w:bCs/>
              </w:rPr>
              <w:t>15.0-18.0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Times New Roman" w:hAnsi="Times New Roman" w:eastAsia="宋体" w:cs="Times New Roman"/>
                <w:bCs/>
                <w:sz w:val="24"/>
                <w:szCs w:val="24"/>
              </w:rPr>
            </w:pPr>
          </w:p>
        </w:tc>
        <w:tc>
          <w:tcPr>
            <w:tcW w:w="785" w:type="dxa"/>
            <w:vMerge w:val="continue"/>
            <w:vAlign w:val="center"/>
          </w:tcPr>
          <w:p>
            <w:pPr>
              <w:jc w:val="center"/>
              <w:rPr>
                <w:rFonts w:ascii="Times New Roman" w:hAnsi="Times New Roman" w:eastAsia="宋体" w:cs="Times New Roman"/>
                <w:bCs/>
                <w:sz w:val="24"/>
                <w:szCs w:val="24"/>
              </w:rPr>
            </w:pPr>
          </w:p>
        </w:tc>
        <w:tc>
          <w:tcPr>
            <w:tcW w:w="1128" w:type="dxa"/>
            <w:vMerge w:val="continue"/>
            <w:vAlign w:val="center"/>
          </w:tcPr>
          <w:p>
            <w:pPr>
              <w:jc w:val="center"/>
              <w:rPr>
                <w:rFonts w:ascii="Times New Roman" w:hAnsi="Times New Roman" w:eastAsia="宋体" w:cs="Times New Roman"/>
                <w:bCs/>
                <w:sz w:val="24"/>
                <w:szCs w:val="24"/>
              </w:rPr>
            </w:pPr>
          </w:p>
        </w:tc>
        <w:tc>
          <w:tcPr>
            <w:tcW w:w="1677" w:type="dxa"/>
            <w:vMerge w:val="restart"/>
            <w:vAlign w:val="center"/>
          </w:tcPr>
          <w:p>
            <w:pPr>
              <w:jc w:val="center"/>
              <w:rPr>
                <w:rFonts w:ascii="Times New Roman" w:hAnsi="Times New Roman" w:eastAsia="宋体" w:cs="Times New Roman"/>
                <w:spacing w:val="12"/>
                <w:sz w:val="24"/>
                <w:szCs w:val="24"/>
                <w:lang w:eastAsia="zh-CN"/>
              </w:rPr>
            </w:pPr>
            <w:r>
              <w:rPr>
                <w:rFonts w:hint="eastAsia" w:ascii="Times New Roman" w:hAnsi="Times New Roman" w:eastAsia="宋体" w:cs="Times New Roman"/>
                <w:spacing w:val="12"/>
                <w:sz w:val="24"/>
                <w:szCs w:val="24"/>
                <w:lang w:eastAsia="zh-CN"/>
              </w:rPr>
              <w:t>车辆主要配置及</w:t>
            </w:r>
            <w:r>
              <w:rPr>
                <w:rFonts w:ascii="Times New Roman" w:hAnsi="Times New Roman" w:eastAsia="宋体" w:cs="Times New Roman"/>
                <w:spacing w:val="12"/>
                <w:sz w:val="24"/>
                <w:szCs w:val="24"/>
                <w:lang w:eastAsia="zh-CN"/>
              </w:rPr>
              <w:t>投标设备技术性能指标的响应程度</w:t>
            </w:r>
            <w:r>
              <w:rPr>
                <w:rFonts w:hint="eastAsia" w:ascii="Times New Roman" w:hAnsi="Times New Roman" w:eastAsia="宋体" w:cs="Times New Roman"/>
                <w:spacing w:val="12"/>
                <w:sz w:val="24"/>
                <w:szCs w:val="24"/>
                <w:lang w:eastAsia="zh-CN"/>
              </w:rPr>
              <w:t>评价</w:t>
            </w:r>
          </w:p>
          <w:p>
            <w:pPr>
              <w:jc w:val="center"/>
              <w:rPr>
                <w:rFonts w:ascii="Times New Roman" w:hAnsi="Times New Roman" w:eastAsia="宋体" w:cs="Times New Roman"/>
                <w:spacing w:val="12"/>
                <w:sz w:val="24"/>
                <w:szCs w:val="24"/>
                <w:lang w:eastAsia="zh-CN"/>
              </w:rPr>
            </w:pPr>
            <w:r>
              <w:rPr>
                <w:rFonts w:hint="eastAsia" w:ascii="Times New Roman" w:hAnsi="Times New Roman" w:cs="Times New Roman"/>
                <w:bCs/>
                <w:sz w:val="24"/>
                <w:szCs w:val="24"/>
                <w:lang w:eastAsia="zh-CN"/>
              </w:rPr>
              <w:t>（1</w:t>
            </w:r>
            <w:r>
              <w:rPr>
                <w:rFonts w:ascii="Times New Roman" w:hAnsi="Times New Roman" w:cs="Times New Roman"/>
                <w:bCs/>
                <w:sz w:val="24"/>
                <w:szCs w:val="24"/>
                <w:lang w:eastAsia="zh-CN"/>
              </w:rPr>
              <w:t>5</w:t>
            </w:r>
            <w:r>
              <w:rPr>
                <w:rFonts w:hint="eastAsia" w:ascii="Times New Roman" w:hAnsi="Times New Roman" w:cs="Times New Roman"/>
                <w:bCs/>
                <w:sz w:val="24"/>
                <w:szCs w:val="24"/>
                <w:lang w:eastAsia="zh-CN"/>
              </w:rPr>
              <w:t>分）</w:t>
            </w:r>
          </w:p>
        </w:tc>
        <w:tc>
          <w:tcPr>
            <w:tcW w:w="3583" w:type="dxa"/>
            <w:vAlign w:val="center"/>
          </w:tcPr>
          <w:p>
            <w:pPr>
              <w:jc w:val="both"/>
              <w:rPr>
                <w:rFonts w:ascii="Times New Roman" w:hAnsi="Times New Roman" w:eastAsia="宋体" w:cs="Times New Roman"/>
                <w:spacing w:val="12"/>
                <w:sz w:val="24"/>
                <w:szCs w:val="24"/>
                <w:lang w:eastAsia="zh-CN"/>
              </w:rPr>
            </w:pPr>
            <w:r>
              <w:rPr>
                <w:rFonts w:hint="eastAsia" w:ascii="Times New Roman" w:hAnsi="Times New Roman" w:eastAsia="宋体" w:cs="Times New Roman"/>
                <w:spacing w:val="12"/>
                <w:sz w:val="24"/>
                <w:szCs w:val="24"/>
                <w:lang w:eastAsia="zh-CN"/>
              </w:rPr>
              <w:t>车辆功能配置齐全、实用性强、外观、内饰、工艺好，主要零部件的性能参数高</w:t>
            </w:r>
          </w:p>
        </w:tc>
        <w:tc>
          <w:tcPr>
            <w:tcW w:w="1217" w:type="dxa"/>
            <w:vAlign w:val="center"/>
          </w:tcPr>
          <w:p>
            <w:pPr>
              <w:pStyle w:val="18"/>
              <w:spacing w:before="240" w:after="120"/>
              <w:jc w:val="center"/>
              <w:rPr>
                <w:rFonts w:ascii="Times New Roman" w:hAnsi="Times New Roman"/>
                <w:bCs/>
              </w:rPr>
            </w:pPr>
            <w:r>
              <w:rPr>
                <w:rFonts w:hint="eastAsia" w:ascii="Times New Roman" w:hAnsi="Times New Roman"/>
                <w:bCs/>
              </w:rPr>
              <w:t>1</w:t>
            </w:r>
            <w:r>
              <w:rPr>
                <w:rFonts w:ascii="Times New Roman" w:hAnsi="Times New Roman"/>
                <w:bCs/>
              </w:rPr>
              <w:t>3</w:t>
            </w:r>
            <w:r>
              <w:rPr>
                <w:rFonts w:hint="eastAsia" w:ascii="Times New Roman" w:hAnsi="Times New Roman"/>
                <w:bCs/>
              </w:rPr>
              <w:t>.0-15.0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Times New Roman" w:hAnsi="Times New Roman" w:eastAsia="宋体" w:cs="Times New Roman"/>
                <w:bCs/>
                <w:sz w:val="24"/>
                <w:szCs w:val="24"/>
              </w:rPr>
            </w:pPr>
          </w:p>
        </w:tc>
        <w:tc>
          <w:tcPr>
            <w:tcW w:w="785" w:type="dxa"/>
            <w:vMerge w:val="continue"/>
            <w:vAlign w:val="center"/>
          </w:tcPr>
          <w:p>
            <w:pPr>
              <w:jc w:val="center"/>
              <w:rPr>
                <w:rFonts w:ascii="Times New Roman" w:hAnsi="Times New Roman" w:eastAsia="宋体" w:cs="Times New Roman"/>
                <w:bCs/>
                <w:sz w:val="24"/>
                <w:szCs w:val="24"/>
              </w:rPr>
            </w:pPr>
          </w:p>
        </w:tc>
        <w:tc>
          <w:tcPr>
            <w:tcW w:w="1128" w:type="dxa"/>
            <w:vMerge w:val="continue"/>
            <w:vAlign w:val="center"/>
          </w:tcPr>
          <w:p>
            <w:pPr>
              <w:jc w:val="center"/>
              <w:rPr>
                <w:rFonts w:ascii="Times New Roman" w:hAnsi="Times New Roman" w:eastAsia="宋体" w:cs="Times New Roman"/>
                <w:bCs/>
                <w:sz w:val="24"/>
                <w:szCs w:val="24"/>
              </w:rPr>
            </w:pPr>
          </w:p>
        </w:tc>
        <w:tc>
          <w:tcPr>
            <w:tcW w:w="1677" w:type="dxa"/>
            <w:vMerge w:val="continue"/>
            <w:vAlign w:val="center"/>
          </w:tcPr>
          <w:p>
            <w:pPr>
              <w:jc w:val="center"/>
              <w:rPr>
                <w:rFonts w:ascii="Times New Roman" w:hAnsi="Times New Roman" w:eastAsia="宋体" w:cs="Times New Roman"/>
                <w:spacing w:val="12"/>
                <w:sz w:val="24"/>
                <w:szCs w:val="24"/>
                <w:lang w:eastAsia="zh-CN"/>
              </w:rPr>
            </w:pPr>
          </w:p>
        </w:tc>
        <w:tc>
          <w:tcPr>
            <w:tcW w:w="3583" w:type="dxa"/>
            <w:vAlign w:val="center"/>
          </w:tcPr>
          <w:p>
            <w:pPr>
              <w:jc w:val="both"/>
              <w:rPr>
                <w:rFonts w:ascii="Times New Roman" w:hAnsi="Times New Roman" w:eastAsia="宋体" w:cs="Times New Roman"/>
                <w:spacing w:val="12"/>
                <w:sz w:val="24"/>
                <w:szCs w:val="24"/>
                <w:lang w:eastAsia="zh-CN"/>
              </w:rPr>
            </w:pPr>
            <w:r>
              <w:rPr>
                <w:rFonts w:hint="eastAsia" w:ascii="Times New Roman" w:hAnsi="Times New Roman" w:eastAsia="宋体" w:cs="Times New Roman"/>
                <w:spacing w:val="12"/>
                <w:sz w:val="24"/>
                <w:szCs w:val="24"/>
                <w:lang w:eastAsia="zh-CN"/>
              </w:rPr>
              <w:t>车辆功能配置较齐全、实用性较强、外观、内饰、工艺较好，主要零部件的性能参数较高</w:t>
            </w:r>
          </w:p>
        </w:tc>
        <w:tc>
          <w:tcPr>
            <w:tcW w:w="1217" w:type="dxa"/>
            <w:vAlign w:val="center"/>
          </w:tcPr>
          <w:p>
            <w:pPr>
              <w:pStyle w:val="18"/>
              <w:spacing w:before="240" w:after="120"/>
              <w:jc w:val="center"/>
              <w:rPr>
                <w:rFonts w:ascii="Times New Roman" w:hAnsi="Times New Roman"/>
                <w:bCs/>
              </w:rPr>
            </w:pPr>
            <w:r>
              <w:rPr>
                <w:rFonts w:ascii="Times New Roman" w:hAnsi="Times New Roman"/>
                <w:bCs/>
              </w:rPr>
              <w:t>11</w:t>
            </w:r>
            <w:r>
              <w:rPr>
                <w:rFonts w:hint="eastAsia" w:ascii="Times New Roman" w:hAnsi="Times New Roman"/>
                <w:bCs/>
              </w:rPr>
              <w:t>.</w:t>
            </w:r>
            <w:r>
              <w:rPr>
                <w:rFonts w:ascii="Times New Roman" w:hAnsi="Times New Roman"/>
                <w:bCs/>
              </w:rPr>
              <w:t>0</w:t>
            </w:r>
            <w:r>
              <w:rPr>
                <w:rFonts w:hint="eastAsia" w:ascii="Times New Roman" w:hAnsi="Times New Roman"/>
                <w:bCs/>
              </w:rPr>
              <w:t>-1</w:t>
            </w:r>
            <w:r>
              <w:rPr>
                <w:rFonts w:ascii="Times New Roman" w:hAnsi="Times New Roman"/>
                <w:bCs/>
              </w:rPr>
              <w:t>3</w:t>
            </w:r>
            <w:r>
              <w:rPr>
                <w:rFonts w:hint="eastAsia" w:ascii="Times New Roman" w:hAnsi="Times New Roman"/>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Times New Roman" w:hAnsi="Times New Roman" w:eastAsia="宋体" w:cs="Times New Roman"/>
                <w:bCs/>
                <w:sz w:val="24"/>
                <w:szCs w:val="24"/>
              </w:rPr>
            </w:pPr>
          </w:p>
        </w:tc>
        <w:tc>
          <w:tcPr>
            <w:tcW w:w="785" w:type="dxa"/>
            <w:vMerge w:val="continue"/>
            <w:vAlign w:val="center"/>
          </w:tcPr>
          <w:p>
            <w:pPr>
              <w:jc w:val="center"/>
              <w:rPr>
                <w:rFonts w:ascii="Times New Roman" w:hAnsi="Times New Roman" w:eastAsia="宋体" w:cs="Times New Roman"/>
                <w:bCs/>
                <w:sz w:val="24"/>
                <w:szCs w:val="24"/>
              </w:rPr>
            </w:pPr>
          </w:p>
        </w:tc>
        <w:tc>
          <w:tcPr>
            <w:tcW w:w="1128" w:type="dxa"/>
            <w:vMerge w:val="continue"/>
            <w:vAlign w:val="center"/>
          </w:tcPr>
          <w:p>
            <w:pPr>
              <w:jc w:val="center"/>
              <w:rPr>
                <w:rFonts w:ascii="Times New Roman" w:hAnsi="Times New Roman" w:eastAsia="宋体" w:cs="Times New Roman"/>
                <w:bCs/>
                <w:sz w:val="24"/>
                <w:szCs w:val="24"/>
              </w:rPr>
            </w:pPr>
          </w:p>
        </w:tc>
        <w:tc>
          <w:tcPr>
            <w:tcW w:w="1677" w:type="dxa"/>
            <w:vMerge w:val="continue"/>
            <w:vAlign w:val="center"/>
          </w:tcPr>
          <w:p>
            <w:pPr>
              <w:jc w:val="center"/>
              <w:rPr>
                <w:rFonts w:ascii="Times New Roman" w:hAnsi="Times New Roman" w:eastAsia="宋体" w:cs="Times New Roman"/>
                <w:spacing w:val="12"/>
                <w:sz w:val="24"/>
                <w:szCs w:val="24"/>
                <w:lang w:eastAsia="zh-CN"/>
              </w:rPr>
            </w:pPr>
          </w:p>
        </w:tc>
        <w:tc>
          <w:tcPr>
            <w:tcW w:w="3583" w:type="dxa"/>
            <w:vAlign w:val="center"/>
          </w:tcPr>
          <w:p>
            <w:pPr>
              <w:jc w:val="both"/>
              <w:rPr>
                <w:rFonts w:ascii="Times New Roman" w:hAnsi="Times New Roman" w:eastAsia="宋体" w:cs="Times New Roman"/>
                <w:spacing w:val="12"/>
                <w:sz w:val="24"/>
                <w:szCs w:val="24"/>
                <w:lang w:eastAsia="zh-CN"/>
              </w:rPr>
            </w:pPr>
            <w:r>
              <w:rPr>
                <w:rFonts w:hint="eastAsia" w:ascii="Times New Roman" w:hAnsi="Times New Roman" w:eastAsia="宋体" w:cs="Times New Roman"/>
                <w:spacing w:val="12"/>
                <w:sz w:val="24"/>
                <w:szCs w:val="24"/>
                <w:lang w:eastAsia="zh-CN"/>
              </w:rPr>
              <w:t>车辆功能配置一般、实用性一般、外观、内饰、工艺一般，主要零部件的性能参数一般</w:t>
            </w:r>
          </w:p>
        </w:tc>
        <w:tc>
          <w:tcPr>
            <w:tcW w:w="1217" w:type="dxa"/>
            <w:vAlign w:val="center"/>
          </w:tcPr>
          <w:p>
            <w:pPr>
              <w:pStyle w:val="18"/>
              <w:spacing w:before="240" w:after="120"/>
              <w:jc w:val="center"/>
              <w:rPr>
                <w:rFonts w:ascii="Times New Roman" w:hAnsi="Times New Roman"/>
                <w:bCs/>
              </w:rPr>
            </w:pPr>
            <w:r>
              <w:rPr>
                <w:rFonts w:hint="eastAsia" w:ascii="Times New Roman" w:hAnsi="Times New Roman"/>
                <w:bCs/>
              </w:rPr>
              <w:t>9.0</w:t>
            </w:r>
            <w:r>
              <w:rPr>
                <w:rFonts w:ascii="Times New Roman" w:hAnsi="Times New Roman"/>
                <w:bCs/>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Times New Roman" w:hAnsi="Times New Roman" w:eastAsia="宋体" w:cs="Times New Roman"/>
                <w:bCs/>
                <w:sz w:val="24"/>
                <w:szCs w:val="24"/>
              </w:rPr>
            </w:pPr>
          </w:p>
        </w:tc>
        <w:tc>
          <w:tcPr>
            <w:tcW w:w="785" w:type="dxa"/>
            <w:vMerge w:val="continue"/>
            <w:vAlign w:val="center"/>
          </w:tcPr>
          <w:p>
            <w:pPr>
              <w:jc w:val="center"/>
              <w:rPr>
                <w:rFonts w:ascii="Times New Roman" w:hAnsi="Times New Roman" w:eastAsia="宋体" w:cs="Times New Roman"/>
                <w:bCs/>
                <w:sz w:val="24"/>
                <w:szCs w:val="24"/>
              </w:rPr>
            </w:pPr>
          </w:p>
        </w:tc>
        <w:tc>
          <w:tcPr>
            <w:tcW w:w="1128" w:type="dxa"/>
            <w:vMerge w:val="continue"/>
            <w:vAlign w:val="center"/>
          </w:tcPr>
          <w:p>
            <w:pPr>
              <w:jc w:val="center"/>
              <w:rPr>
                <w:rFonts w:ascii="Times New Roman" w:hAnsi="Times New Roman" w:eastAsia="宋体" w:cs="Times New Roman"/>
                <w:bCs/>
                <w:sz w:val="24"/>
                <w:szCs w:val="24"/>
              </w:rPr>
            </w:pPr>
          </w:p>
        </w:tc>
        <w:tc>
          <w:tcPr>
            <w:tcW w:w="1677" w:type="dxa"/>
            <w:vMerge w:val="restart"/>
            <w:vAlign w:val="center"/>
          </w:tcPr>
          <w:p>
            <w:pPr>
              <w:jc w:val="center"/>
              <w:rPr>
                <w:rFonts w:ascii="Times New Roman" w:hAnsi="Times New Roman" w:eastAsia="宋体" w:cs="Times New Roman"/>
                <w:spacing w:val="12"/>
                <w:sz w:val="24"/>
                <w:szCs w:val="24"/>
                <w:lang w:eastAsia="zh-CN"/>
              </w:rPr>
            </w:pPr>
            <w:r>
              <w:rPr>
                <w:rFonts w:hint="eastAsia" w:ascii="Times New Roman" w:hAnsi="Times New Roman" w:eastAsia="宋体" w:cs="Times New Roman"/>
                <w:spacing w:val="12"/>
                <w:sz w:val="24"/>
                <w:szCs w:val="24"/>
                <w:lang w:eastAsia="zh-CN"/>
              </w:rPr>
              <w:t>交货期服务方案及服务能力评价</w:t>
            </w:r>
          </w:p>
          <w:p>
            <w:pPr>
              <w:jc w:val="center"/>
              <w:rPr>
                <w:rFonts w:ascii="Times New Roman" w:hAnsi="Times New Roman" w:eastAsia="宋体" w:cs="Times New Roman"/>
                <w:spacing w:val="12"/>
                <w:sz w:val="24"/>
                <w:szCs w:val="24"/>
                <w:lang w:eastAsia="zh-CN"/>
              </w:rPr>
            </w:pPr>
            <w:r>
              <w:rPr>
                <w:rFonts w:hint="eastAsia" w:ascii="Times New Roman" w:hAnsi="Times New Roman" w:eastAsia="宋体" w:cs="Times New Roman"/>
                <w:spacing w:val="12"/>
                <w:sz w:val="24"/>
                <w:szCs w:val="24"/>
                <w:lang w:eastAsia="zh-CN"/>
              </w:rPr>
              <w:t>(10分)</w:t>
            </w:r>
          </w:p>
        </w:tc>
        <w:tc>
          <w:tcPr>
            <w:tcW w:w="3583" w:type="dxa"/>
            <w:vAlign w:val="center"/>
          </w:tcPr>
          <w:p>
            <w:pPr>
              <w:jc w:val="both"/>
              <w:rPr>
                <w:rFonts w:ascii="Times New Roman" w:hAnsi="Times New Roman" w:eastAsia="宋体" w:cs="Times New Roman"/>
                <w:spacing w:val="12"/>
                <w:sz w:val="24"/>
                <w:szCs w:val="24"/>
                <w:lang w:eastAsia="zh-CN"/>
              </w:rPr>
            </w:pPr>
            <w:r>
              <w:rPr>
                <w:rFonts w:hint="eastAsia" w:ascii="Times New Roman" w:hAnsi="Times New Roman" w:eastAsia="宋体" w:cs="Times New Roman"/>
                <w:spacing w:val="12"/>
                <w:sz w:val="24"/>
                <w:szCs w:val="24"/>
                <w:lang w:eastAsia="zh-CN"/>
              </w:rPr>
              <w:t>配送及时、安全可靠、有良好的相关配套增值服务方案</w:t>
            </w:r>
          </w:p>
        </w:tc>
        <w:tc>
          <w:tcPr>
            <w:tcW w:w="1217" w:type="dxa"/>
            <w:vAlign w:val="center"/>
          </w:tcPr>
          <w:p>
            <w:pPr>
              <w:pStyle w:val="18"/>
              <w:spacing w:before="240" w:after="120"/>
              <w:jc w:val="center"/>
              <w:rPr>
                <w:rFonts w:ascii="Times New Roman" w:hAnsi="Times New Roman"/>
                <w:bCs/>
              </w:rPr>
            </w:pPr>
            <w:r>
              <w:rPr>
                <w:rFonts w:ascii="Times New Roman" w:hAnsi="Times New Roman"/>
                <w:bCs/>
              </w:rPr>
              <w:t>9.0-</w:t>
            </w:r>
            <w:r>
              <w:rPr>
                <w:rFonts w:hint="eastAsia" w:ascii="Times New Roman" w:hAnsi="Times New Roman"/>
                <w:bCs/>
              </w:rPr>
              <w:t>1</w:t>
            </w:r>
            <w:r>
              <w:rPr>
                <w:rFonts w:ascii="Times New Roman" w:hAnsi="Times New Roman"/>
                <w:bC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Times New Roman" w:hAnsi="Times New Roman" w:eastAsia="宋体" w:cs="Times New Roman"/>
                <w:bCs/>
                <w:sz w:val="24"/>
                <w:szCs w:val="24"/>
              </w:rPr>
            </w:pPr>
          </w:p>
        </w:tc>
        <w:tc>
          <w:tcPr>
            <w:tcW w:w="785" w:type="dxa"/>
            <w:vMerge w:val="continue"/>
            <w:vAlign w:val="center"/>
          </w:tcPr>
          <w:p>
            <w:pPr>
              <w:jc w:val="center"/>
              <w:rPr>
                <w:rFonts w:ascii="Times New Roman" w:hAnsi="Times New Roman" w:eastAsia="宋体" w:cs="Times New Roman"/>
                <w:bCs/>
                <w:sz w:val="24"/>
                <w:szCs w:val="24"/>
              </w:rPr>
            </w:pPr>
          </w:p>
        </w:tc>
        <w:tc>
          <w:tcPr>
            <w:tcW w:w="1128" w:type="dxa"/>
            <w:vMerge w:val="continue"/>
            <w:vAlign w:val="center"/>
          </w:tcPr>
          <w:p>
            <w:pPr>
              <w:jc w:val="center"/>
              <w:rPr>
                <w:rFonts w:ascii="Times New Roman" w:hAnsi="Times New Roman" w:eastAsia="宋体" w:cs="Times New Roman"/>
                <w:bCs/>
                <w:sz w:val="24"/>
                <w:szCs w:val="24"/>
              </w:rPr>
            </w:pPr>
          </w:p>
        </w:tc>
        <w:tc>
          <w:tcPr>
            <w:tcW w:w="1677" w:type="dxa"/>
            <w:vMerge w:val="continue"/>
            <w:vAlign w:val="center"/>
          </w:tcPr>
          <w:p>
            <w:pPr>
              <w:jc w:val="center"/>
              <w:rPr>
                <w:rFonts w:ascii="Times New Roman" w:hAnsi="Times New Roman" w:eastAsia="宋体" w:cs="Times New Roman"/>
                <w:bCs/>
                <w:sz w:val="24"/>
                <w:szCs w:val="24"/>
              </w:rPr>
            </w:pPr>
          </w:p>
        </w:tc>
        <w:tc>
          <w:tcPr>
            <w:tcW w:w="3583" w:type="dxa"/>
            <w:vAlign w:val="center"/>
          </w:tcPr>
          <w:p>
            <w:pPr>
              <w:jc w:val="both"/>
              <w:rPr>
                <w:rFonts w:ascii="Times New Roman" w:hAnsi="Times New Roman" w:eastAsia="宋体" w:cs="Times New Roman"/>
                <w:spacing w:val="12"/>
                <w:sz w:val="24"/>
                <w:szCs w:val="24"/>
                <w:lang w:eastAsia="zh-CN"/>
              </w:rPr>
            </w:pPr>
            <w:r>
              <w:rPr>
                <w:rFonts w:hint="eastAsia" w:ascii="Times New Roman" w:hAnsi="Times New Roman" w:eastAsia="宋体" w:cs="Times New Roman"/>
                <w:spacing w:val="12"/>
                <w:sz w:val="24"/>
                <w:szCs w:val="24"/>
                <w:lang w:eastAsia="zh-CN"/>
              </w:rPr>
              <w:t>配送较及时、较安全可靠、有较好的相关配套增值服务方案</w:t>
            </w:r>
          </w:p>
        </w:tc>
        <w:tc>
          <w:tcPr>
            <w:tcW w:w="1217" w:type="dxa"/>
            <w:vAlign w:val="center"/>
          </w:tcPr>
          <w:p>
            <w:pPr>
              <w:pStyle w:val="18"/>
              <w:spacing w:before="240" w:after="120"/>
              <w:jc w:val="center"/>
              <w:rPr>
                <w:rFonts w:ascii="Times New Roman" w:hAnsi="Times New Roman"/>
                <w:bCs/>
              </w:rPr>
            </w:pPr>
            <w:r>
              <w:rPr>
                <w:rFonts w:ascii="Times New Roman" w:hAnsi="Times New Roman"/>
                <w:bCs/>
              </w:rPr>
              <w:t>7.5-9.0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Times New Roman" w:hAnsi="Times New Roman" w:eastAsia="宋体" w:cs="Times New Roman"/>
                <w:bCs/>
                <w:sz w:val="24"/>
                <w:szCs w:val="24"/>
              </w:rPr>
            </w:pPr>
          </w:p>
        </w:tc>
        <w:tc>
          <w:tcPr>
            <w:tcW w:w="785" w:type="dxa"/>
            <w:vMerge w:val="continue"/>
            <w:vAlign w:val="center"/>
          </w:tcPr>
          <w:p>
            <w:pPr>
              <w:jc w:val="center"/>
              <w:rPr>
                <w:rFonts w:ascii="Times New Roman" w:hAnsi="Times New Roman" w:eastAsia="宋体" w:cs="Times New Roman"/>
                <w:bCs/>
                <w:sz w:val="24"/>
                <w:szCs w:val="24"/>
              </w:rPr>
            </w:pPr>
          </w:p>
        </w:tc>
        <w:tc>
          <w:tcPr>
            <w:tcW w:w="1128" w:type="dxa"/>
            <w:vMerge w:val="continue"/>
            <w:vAlign w:val="center"/>
          </w:tcPr>
          <w:p>
            <w:pPr>
              <w:jc w:val="center"/>
              <w:rPr>
                <w:rFonts w:ascii="Times New Roman" w:hAnsi="Times New Roman" w:eastAsia="宋体" w:cs="Times New Roman"/>
                <w:bCs/>
                <w:sz w:val="24"/>
                <w:szCs w:val="24"/>
              </w:rPr>
            </w:pPr>
          </w:p>
        </w:tc>
        <w:tc>
          <w:tcPr>
            <w:tcW w:w="1677" w:type="dxa"/>
            <w:vMerge w:val="continue"/>
            <w:vAlign w:val="center"/>
          </w:tcPr>
          <w:p>
            <w:pPr>
              <w:jc w:val="center"/>
              <w:rPr>
                <w:rFonts w:ascii="Times New Roman" w:hAnsi="Times New Roman" w:eastAsia="宋体" w:cs="Times New Roman"/>
                <w:bCs/>
                <w:sz w:val="24"/>
                <w:szCs w:val="24"/>
              </w:rPr>
            </w:pPr>
          </w:p>
        </w:tc>
        <w:tc>
          <w:tcPr>
            <w:tcW w:w="3583" w:type="dxa"/>
            <w:vAlign w:val="center"/>
          </w:tcPr>
          <w:p>
            <w:pPr>
              <w:jc w:val="both"/>
              <w:rPr>
                <w:rFonts w:ascii="Times New Roman" w:hAnsi="Times New Roman" w:eastAsia="宋体" w:cs="Times New Roman"/>
                <w:spacing w:val="12"/>
                <w:sz w:val="24"/>
                <w:szCs w:val="24"/>
                <w:lang w:eastAsia="zh-CN"/>
              </w:rPr>
            </w:pPr>
            <w:r>
              <w:rPr>
                <w:rFonts w:hint="eastAsia" w:ascii="Times New Roman" w:hAnsi="Times New Roman" w:eastAsia="宋体" w:cs="Times New Roman"/>
                <w:spacing w:val="12"/>
                <w:sz w:val="24"/>
                <w:szCs w:val="24"/>
                <w:lang w:eastAsia="zh-CN"/>
              </w:rPr>
              <w:t>配送时效性一般、安全可靠性一般、相关配套增值服务方案一般</w:t>
            </w:r>
          </w:p>
        </w:tc>
        <w:tc>
          <w:tcPr>
            <w:tcW w:w="1217" w:type="dxa"/>
            <w:vAlign w:val="center"/>
          </w:tcPr>
          <w:p>
            <w:pPr>
              <w:pStyle w:val="18"/>
              <w:spacing w:before="240" w:after="120"/>
              <w:jc w:val="center"/>
              <w:rPr>
                <w:rFonts w:ascii="Times New Roman" w:hAnsi="Times New Roman"/>
                <w:bCs/>
              </w:rPr>
            </w:pPr>
            <w:r>
              <w:rPr>
                <w:rFonts w:hint="eastAsia" w:ascii="Times New Roman" w:hAnsi="Times New Roman"/>
                <w:bCs/>
              </w:rPr>
              <w:t>6</w:t>
            </w:r>
            <w:r>
              <w:rPr>
                <w:rFonts w:ascii="Times New Roman" w:hAnsi="Times New Roman"/>
                <w:bCs/>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Times New Roman" w:hAnsi="Times New Roman" w:eastAsia="宋体" w:cs="Times New Roman"/>
                <w:bCs/>
                <w:sz w:val="24"/>
                <w:szCs w:val="24"/>
              </w:rPr>
            </w:pPr>
          </w:p>
        </w:tc>
        <w:tc>
          <w:tcPr>
            <w:tcW w:w="785" w:type="dxa"/>
            <w:vMerge w:val="continue"/>
            <w:vAlign w:val="center"/>
          </w:tcPr>
          <w:p>
            <w:pPr>
              <w:jc w:val="center"/>
              <w:rPr>
                <w:rFonts w:ascii="Times New Roman" w:hAnsi="Times New Roman" w:eastAsia="宋体" w:cs="Times New Roman"/>
                <w:bCs/>
                <w:sz w:val="24"/>
                <w:szCs w:val="24"/>
              </w:rPr>
            </w:pPr>
          </w:p>
        </w:tc>
        <w:tc>
          <w:tcPr>
            <w:tcW w:w="1128" w:type="dxa"/>
            <w:vMerge w:val="continue"/>
            <w:vAlign w:val="center"/>
          </w:tcPr>
          <w:p>
            <w:pPr>
              <w:jc w:val="center"/>
              <w:rPr>
                <w:rFonts w:ascii="Times New Roman" w:hAnsi="Times New Roman" w:eastAsia="宋体" w:cs="Times New Roman"/>
                <w:bCs/>
                <w:sz w:val="24"/>
                <w:szCs w:val="24"/>
              </w:rPr>
            </w:pPr>
          </w:p>
        </w:tc>
        <w:tc>
          <w:tcPr>
            <w:tcW w:w="1677" w:type="dxa"/>
            <w:vMerge w:val="restart"/>
            <w:vAlign w:val="center"/>
          </w:tcPr>
          <w:p>
            <w:pPr>
              <w:wordWrap w:val="0"/>
              <w:adjustRightInd w:val="0"/>
              <w:snapToGrid w:val="0"/>
              <w:spacing w:line="300" w:lineRule="exact"/>
              <w:jc w:val="center"/>
              <w:rPr>
                <w:rFonts w:ascii="Times New Roman" w:hAnsi="Times New Roman" w:eastAsia="宋体" w:cs="Times New Roman"/>
                <w:sz w:val="24"/>
                <w:szCs w:val="24"/>
                <w:shd w:val="clear" w:color="auto" w:fill="FFFFFF"/>
                <w:lang w:eastAsia="zh-CN"/>
              </w:rPr>
            </w:pPr>
            <w:r>
              <w:rPr>
                <w:rFonts w:ascii="Times New Roman" w:hAnsi="Times New Roman" w:eastAsia="宋体" w:cs="Times New Roman"/>
                <w:sz w:val="24"/>
                <w:szCs w:val="24"/>
                <w:shd w:val="clear" w:color="auto" w:fill="FFFFFF"/>
                <w:lang w:eastAsia="zh-CN"/>
              </w:rPr>
              <w:t>技术服务和质保期服务能力的评价</w:t>
            </w:r>
          </w:p>
          <w:p>
            <w:pPr>
              <w:wordWrap w:val="0"/>
              <w:adjustRightInd w:val="0"/>
              <w:snapToGrid w:val="0"/>
              <w:spacing w:line="300" w:lineRule="exact"/>
              <w:jc w:val="center"/>
              <w:rPr>
                <w:rFonts w:ascii="Times New Roman" w:hAnsi="Times New Roman" w:cs="Times New Roman"/>
                <w:bCs/>
                <w:sz w:val="24"/>
                <w:szCs w:val="24"/>
                <w:lang w:eastAsia="zh-CN"/>
              </w:rPr>
            </w:pPr>
            <w:r>
              <w:rPr>
                <w:rFonts w:hint="eastAsia" w:ascii="Times New Roman" w:hAnsi="Times New Roman" w:cs="Times New Roman"/>
                <w:bCs/>
                <w:sz w:val="24"/>
                <w:szCs w:val="24"/>
                <w:lang w:eastAsia="zh-CN"/>
              </w:rPr>
              <w:t>(10分)</w:t>
            </w:r>
          </w:p>
        </w:tc>
        <w:tc>
          <w:tcPr>
            <w:tcW w:w="3583" w:type="dxa"/>
            <w:vAlign w:val="center"/>
          </w:tcPr>
          <w:p>
            <w:pPr>
              <w:jc w:val="both"/>
              <w:rPr>
                <w:rFonts w:ascii="Times New Roman" w:hAnsi="Times New Roman" w:eastAsia="宋体" w:cs="Times New Roman"/>
                <w:spacing w:val="12"/>
                <w:sz w:val="24"/>
                <w:szCs w:val="24"/>
                <w:lang w:eastAsia="zh-CN"/>
              </w:rPr>
            </w:pPr>
            <w:r>
              <w:rPr>
                <w:rFonts w:hint="eastAsia" w:ascii="Times New Roman" w:hAnsi="Times New Roman" w:eastAsia="宋体" w:cs="Times New Roman"/>
                <w:spacing w:val="12"/>
                <w:sz w:val="24"/>
                <w:szCs w:val="24"/>
                <w:lang w:eastAsia="zh-CN"/>
              </w:rPr>
              <w:t>技术服务能力、维保能力强，优惠政策好、有良好的保养检测等售后服务</w:t>
            </w:r>
          </w:p>
        </w:tc>
        <w:tc>
          <w:tcPr>
            <w:tcW w:w="1217" w:type="dxa"/>
            <w:vAlign w:val="center"/>
          </w:tcPr>
          <w:p>
            <w:pPr>
              <w:pStyle w:val="18"/>
              <w:spacing w:before="240" w:after="120"/>
              <w:jc w:val="center"/>
              <w:rPr>
                <w:rFonts w:ascii="Times New Roman" w:hAnsi="Times New Roman"/>
                <w:bCs/>
              </w:rPr>
            </w:pPr>
            <w:r>
              <w:rPr>
                <w:rFonts w:ascii="Times New Roman" w:hAnsi="Times New Roman"/>
                <w:bCs/>
              </w:rPr>
              <w:t>9.0-</w:t>
            </w:r>
            <w:r>
              <w:rPr>
                <w:rFonts w:hint="eastAsia" w:ascii="Times New Roman" w:hAnsi="Times New Roman"/>
                <w:bCs/>
              </w:rPr>
              <w:t>1</w:t>
            </w:r>
            <w:r>
              <w:rPr>
                <w:rFonts w:ascii="Times New Roman" w:hAnsi="Times New Roman"/>
                <w:bC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Times New Roman" w:hAnsi="Times New Roman" w:eastAsia="宋体" w:cs="Times New Roman"/>
                <w:bCs/>
                <w:sz w:val="24"/>
                <w:szCs w:val="24"/>
              </w:rPr>
            </w:pPr>
          </w:p>
        </w:tc>
        <w:tc>
          <w:tcPr>
            <w:tcW w:w="785" w:type="dxa"/>
            <w:vMerge w:val="continue"/>
            <w:vAlign w:val="center"/>
          </w:tcPr>
          <w:p>
            <w:pPr>
              <w:jc w:val="center"/>
              <w:rPr>
                <w:rFonts w:ascii="Times New Roman" w:hAnsi="Times New Roman" w:eastAsia="宋体" w:cs="Times New Roman"/>
                <w:bCs/>
                <w:sz w:val="24"/>
                <w:szCs w:val="24"/>
              </w:rPr>
            </w:pPr>
          </w:p>
        </w:tc>
        <w:tc>
          <w:tcPr>
            <w:tcW w:w="1128" w:type="dxa"/>
            <w:vMerge w:val="continue"/>
            <w:vAlign w:val="center"/>
          </w:tcPr>
          <w:p>
            <w:pPr>
              <w:jc w:val="center"/>
              <w:rPr>
                <w:rFonts w:ascii="Times New Roman" w:hAnsi="Times New Roman" w:eastAsia="宋体" w:cs="Times New Roman"/>
                <w:bCs/>
                <w:sz w:val="24"/>
                <w:szCs w:val="24"/>
              </w:rPr>
            </w:pPr>
          </w:p>
        </w:tc>
        <w:tc>
          <w:tcPr>
            <w:tcW w:w="1677" w:type="dxa"/>
            <w:vMerge w:val="continue"/>
            <w:vAlign w:val="center"/>
          </w:tcPr>
          <w:p>
            <w:pPr>
              <w:jc w:val="center"/>
              <w:rPr>
                <w:rFonts w:ascii="Times New Roman" w:hAnsi="Times New Roman" w:eastAsia="宋体" w:cs="Times New Roman"/>
                <w:bCs/>
                <w:sz w:val="24"/>
                <w:szCs w:val="24"/>
              </w:rPr>
            </w:pPr>
          </w:p>
        </w:tc>
        <w:tc>
          <w:tcPr>
            <w:tcW w:w="3583" w:type="dxa"/>
            <w:vAlign w:val="center"/>
          </w:tcPr>
          <w:p>
            <w:pPr>
              <w:jc w:val="both"/>
              <w:rPr>
                <w:rFonts w:ascii="Times New Roman" w:hAnsi="Times New Roman" w:eastAsia="宋体" w:cs="Times New Roman"/>
                <w:spacing w:val="12"/>
                <w:sz w:val="24"/>
                <w:szCs w:val="24"/>
                <w:lang w:eastAsia="zh-CN"/>
              </w:rPr>
            </w:pPr>
            <w:r>
              <w:rPr>
                <w:rFonts w:hint="eastAsia" w:ascii="Times New Roman" w:hAnsi="Times New Roman" w:eastAsia="宋体" w:cs="Times New Roman"/>
                <w:spacing w:val="12"/>
                <w:sz w:val="24"/>
                <w:szCs w:val="24"/>
                <w:lang w:eastAsia="zh-CN"/>
              </w:rPr>
              <w:t>技术服务能力、维保能力较强，优惠政策较好、有较好的保养检测等售后服务</w:t>
            </w:r>
          </w:p>
        </w:tc>
        <w:tc>
          <w:tcPr>
            <w:tcW w:w="1217" w:type="dxa"/>
            <w:vAlign w:val="center"/>
          </w:tcPr>
          <w:p>
            <w:pPr>
              <w:pStyle w:val="18"/>
              <w:spacing w:before="240" w:after="120"/>
              <w:jc w:val="center"/>
              <w:rPr>
                <w:rFonts w:ascii="Times New Roman" w:hAnsi="Times New Roman"/>
                <w:bCs/>
              </w:rPr>
            </w:pPr>
            <w:r>
              <w:rPr>
                <w:rFonts w:ascii="Times New Roman" w:hAnsi="Times New Roman"/>
                <w:bCs/>
              </w:rPr>
              <w:t>7.5-9.0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Times New Roman" w:hAnsi="Times New Roman" w:eastAsia="宋体" w:cs="Times New Roman"/>
                <w:bCs/>
                <w:sz w:val="24"/>
                <w:szCs w:val="24"/>
              </w:rPr>
            </w:pPr>
          </w:p>
        </w:tc>
        <w:tc>
          <w:tcPr>
            <w:tcW w:w="785" w:type="dxa"/>
            <w:vMerge w:val="continue"/>
            <w:vAlign w:val="center"/>
          </w:tcPr>
          <w:p>
            <w:pPr>
              <w:jc w:val="center"/>
              <w:rPr>
                <w:rFonts w:ascii="Times New Roman" w:hAnsi="Times New Roman" w:eastAsia="宋体" w:cs="Times New Roman"/>
                <w:bCs/>
                <w:sz w:val="24"/>
                <w:szCs w:val="24"/>
              </w:rPr>
            </w:pPr>
          </w:p>
        </w:tc>
        <w:tc>
          <w:tcPr>
            <w:tcW w:w="1128" w:type="dxa"/>
            <w:vMerge w:val="continue"/>
            <w:vAlign w:val="center"/>
          </w:tcPr>
          <w:p>
            <w:pPr>
              <w:jc w:val="center"/>
              <w:rPr>
                <w:rFonts w:ascii="Times New Roman" w:hAnsi="Times New Roman" w:eastAsia="宋体" w:cs="Times New Roman"/>
                <w:bCs/>
                <w:sz w:val="24"/>
                <w:szCs w:val="24"/>
              </w:rPr>
            </w:pPr>
          </w:p>
        </w:tc>
        <w:tc>
          <w:tcPr>
            <w:tcW w:w="1677" w:type="dxa"/>
            <w:vMerge w:val="continue"/>
            <w:vAlign w:val="center"/>
          </w:tcPr>
          <w:p>
            <w:pPr>
              <w:jc w:val="center"/>
              <w:rPr>
                <w:rFonts w:ascii="Times New Roman" w:hAnsi="Times New Roman" w:eastAsia="宋体" w:cs="Times New Roman"/>
                <w:bCs/>
                <w:sz w:val="24"/>
                <w:szCs w:val="24"/>
              </w:rPr>
            </w:pPr>
          </w:p>
        </w:tc>
        <w:tc>
          <w:tcPr>
            <w:tcW w:w="3583" w:type="dxa"/>
            <w:vAlign w:val="center"/>
          </w:tcPr>
          <w:p>
            <w:pPr>
              <w:jc w:val="both"/>
              <w:rPr>
                <w:rFonts w:ascii="Times New Roman" w:hAnsi="Times New Roman" w:eastAsia="宋体" w:cs="Times New Roman"/>
                <w:spacing w:val="12"/>
                <w:sz w:val="24"/>
                <w:szCs w:val="24"/>
                <w:lang w:eastAsia="zh-CN"/>
              </w:rPr>
            </w:pPr>
            <w:r>
              <w:rPr>
                <w:rFonts w:hint="eastAsia" w:ascii="Times New Roman" w:hAnsi="Times New Roman" w:eastAsia="宋体" w:cs="Times New Roman"/>
                <w:spacing w:val="12"/>
                <w:sz w:val="24"/>
                <w:szCs w:val="24"/>
                <w:lang w:eastAsia="zh-CN"/>
              </w:rPr>
              <w:t>技术服务能力、维保能力一般，优惠政策一般、保养检测等售后服务一般</w:t>
            </w:r>
          </w:p>
        </w:tc>
        <w:tc>
          <w:tcPr>
            <w:tcW w:w="1217" w:type="dxa"/>
            <w:vAlign w:val="center"/>
          </w:tcPr>
          <w:p>
            <w:pPr>
              <w:pStyle w:val="18"/>
              <w:spacing w:before="240" w:after="120"/>
              <w:jc w:val="center"/>
              <w:rPr>
                <w:rFonts w:ascii="Times New Roman" w:hAnsi="Times New Roman"/>
                <w:bCs/>
              </w:rPr>
            </w:pPr>
            <w:r>
              <w:rPr>
                <w:rFonts w:hint="eastAsia" w:ascii="Times New Roman" w:hAnsi="Times New Roman"/>
                <w:bCs/>
              </w:rPr>
              <w:t>6</w:t>
            </w:r>
            <w:r>
              <w:rPr>
                <w:rFonts w:ascii="Times New Roman" w:hAnsi="Times New Roman"/>
                <w:bCs/>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81" w:type="dxa"/>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投标报价</w:t>
            </w:r>
          </w:p>
        </w:tc>
        <w:tc>
          <w:tcPr>
            <w:tcW w:w="1913" w:type="dxa"/>
            <w:gridSpan w:val="2"/>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2.3.4（</w:t>
            </w:r>
            <w:r>
              <w:rPr>
                <w:rFonts w:ascii="Times New Roman" w:hAnsi="Times New Roman" w:eastAsia="宋体" w:cs="Times New Roman"/>
                <w:bCs/>
                <w:sz w:val="24"/>
                <w:szCs w:val="24"/>
                <w:lang w:eastAsia="zh-CN"/>
              </w:rPr>
              <w:t>2</w:t>
            </w:r>
            <w:r>
              <w:rPr>
                <w:rFonts w:ascii="Times New Roman" w:hAnsi="Times New Roman" w:eastAsia="宋体" w:cs="Times New Roman"/>
                <w:bCs/>
                <w:sz w:val="24"/>
                <w:szCs w:val="24"/>
              </w:rPr>
              <w:t>）</w:t>
            </w:r>
          </w:p>
        </w:tc>
        <w:tc>
          <w:tcPr>
            <w:tcW w:w="1677" w:type="dxa"/>
            <w:vAlign w:val="center"/>
          </w:tcPr>
          <w:p>
            <w:pPr>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投标报价评分</w:t>
            </w:r>
          </w:p>
          <w:p>
            <w:pPr>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标准</w:t>
            </w:r>
          </w:p>
          <w:p>
            <w:pPr>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（40分）</w:t>
            </w:r>
          </w:p>
        </w:tc>
        <w:tc>
          <w:tcPr>
            <w:tcW w:w="4800" w:type="dxa"/>
            <w:gridSpan w:val="2"/>
            <w:vAlign w:val="center"/>
          </w:tcPr>
          <w:p>
            <w:pP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投标报价得分计算公式：</w:t>
            </w:r>
          </w:p>
          <w:p>
            <w:pP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(1)如果投标人的有效投标报价＞评标基准价，则投标报价得分=40-偏差率×100×E1；</w:t>
            </w:r>
          </w:p>
          <w:p>
            <w:pP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(2)如果投标人的有效投标报价≤评标基准价，则投标报价得分=40+偏差率×100×E2。</w:t>
            </w:r>
          </w:p>
          <w:p>
            <w:pP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其中：</w:t>
            </w:r>
          </w:p>
          <w:p>
            <w:pP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E1是有效投标报价每高于评标基准价一个百分点的扣分值，E1＝0.</w:t>
            </w:r>
            <w:r>
              <w:rPr>
                <w:rFonts w:hint="eastAsia" w:ascii="Times New Roman" w:hAnsi="Times New Roman" w:eastAsia="宋体" w:cs="Times New Roman"/>
                <w:sz w:val="24"/>
                <w:szCs w:val="24"/>
                <w:lang w:eastAsia="zh-CN"/>
              </w:rPr>
              <w:t>2</w:t>
            </w:r>
            <w:r>
              <w:rPr>
                <w:rFonts w:ascii="Times New Roman" w:hAnsi="Times New Roman" w:eastAsia="宋体" w:cs="Times New Roman"/>
                <w:sz w:val="24"/>
                <w:szCs w:val="24"/>
                <w:lang w:eastAsia="zh-CN"/>
              </w:rPr>
              <w:t>；</w:t>
            </w:r>
          </w:p>
          <w:p>
            <w:pP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E2是有效投标报价每低于评标基准价一个百分点的扣分值，E2＝0.</w:t>
            </w:r>
            <w:r>
              <w:rPr>
                <w:rFonts w:hint="eastAsia" w:ascii="Times New Roman" w:hAnsi="Times New Roman" w:eastAsia="宋体" w:cs="Times New Roman"/>
                <w:sz w:val="24"/>
                <w:szCs w:val="24"/>
                <w:lang w:eastAsia="zh-CN"/>
              </w:rPr>
              <w:t>1</w:t>
            </w:r>
            <w:r>
              <w:rPr>
                <w:rFonts w:ascii="Times New Roman" w:hAnsi="Times New Roman" w:eastAsia="宋体" w:cs="Times New Roman"/>
                <w:sz w:val="24"/>
                <w:szCs w:val="24"/>
                <w:lang w:eastAsia="zh-CN"/>
              </w:rPr>
              <w:t>。</w:t>
            </w:r>
          </w:p>
          <w:p>
            <w:pP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投标价最低得分为0分。投标报价得分保留小数点后两位，小数点后第三位“四舍五入”。</w:t>
            </w:r>
          </w:p>
        </w:tc>
      </w:tr>
    </w:tbl>
    <w:p>
      <w:pPr>
        <w:adjustRightInd w:val="0"/>
        <w:spacing w:line="400" w:lineRule="exact"/>
        <w:rPr>
          <w:rFonts w:ascii="宋体" w:hAnsi="宋体"/>
          <w:sz w:val="24"/>
          <w:lang w:eastAsia="zh-CN"/>
        </w:rPr>
      </w:pPr>
      <w:r>
        <w:rPr>
          <w:rFonts w:hint="eastAsia" w:ascii="宋体" w:hAnsi="宋体"/>
          <w:sz w:val="24"/>
          <w:lang w:eastAsia="zh-CN"/>
        </w:rPr>
        <w:t>注：1、评审因素得分应以评标委员会各成员的打分平均值确定；</w:t>
      </w:r>
    </w:p>
    <w:p>
      <w:pPr>
        <w:adjustRightInd w:val="0"/>
        <w:spacing w:line="400" w:lineRule="exact"/>
        <w:ind w:firstLine="480" w:firstLineChars="200"/>
        <w:rPr>
          <w:rFonts w:ascii="宋体" w:hAnsi="宋体"/>
          <w:sz w:val="24"/>
          <w:lang w:eastAsia="zh-CN"/>
        </w:rPr>
      </w:pPr>
      <w:r>
        <w:rPr>
          <w:rFonts w:hint="eastAsia" w:ascii="宋体" w:hAnsi="宋体"/>
          <w:sz w:val="24"/>
          <w:lang w:eastAsia="zh-CN"/>
        </w:rPr>
        <w:t>2、服务方案各评分因素细分项的细分项缺项则该项得0分；</w:t>
      </w:r>
    </w:p>
    <w:p>
      <w:pPr>
        <w:adjustRightInd w:val="0"/>
        <w:spacing w:line="400" w:lineRule="exact"/>
        <w:ind w:firstLine="480" w:firstLineChars="200"/>
        <w:rPr>
          <w:rFonts w:ascii="宋体" w:hAnsi="宋体"/>
          <w:sz w:val="24"/>
          <w:lang w:eastAsia="zh-CN"/>
        </w:rPr>
      </w:pPr>
      <w:r>
        <w:rPr>
          <w:rFonts w:hint="eastAsia" w:ascii="宋体" w:hAnsi="宋体"/>
          <w:sz w:val="24"/>
          <w:lang w:eastAsia="zh-CN"/>
        </w:rPr>
        <w:t>3、服务方案评分时保留1位小数，评标价得分计算时保留两位小数。</w:t>
      </w:r>
    </w:p>
    <w:p>
      <w:pPr>
        <w:widowControl/>
        <w:rPr>
          <w:rFonts w:ascii="宋体" w:hAnsi="宋体"/>
          <w:sz w:val="24"/>
          <w:lang w:eastAsia="zh-CN"/>
        </w:rPr>
      </w:pPr>
      <w:r>
        <w:rPr>
          <w:rFonts w:ascii="宋体" w:hAnsi="宋体"/>
          <w:sz w:val="24"/>
          <w:lang w:eastAsia="zh-CN"/>
        </w:rPr>
        <w:br w:type="page"/>
      </w:r>
    </w:p>
    <w:p>
      <w:pPr>
        <w:pStyle w:val="5"/>
        <w:ind w:left="0" w:firstLine="0"/>
        <w:rPr>
          <w:rFonts w:ascii="宋体" w:hAnsi="宋体" w:cs="宋体"/>
        </w:rPr>
      </w:pPr>
      <w:r>
        <w:rPr>
          <w:rFonts w:hint="eastAsia" w:ascii="宋体" w:hAnsi="宋体" w:cs="宋体"/>
        </w:rPr>
        <w:t>附件3：招标内容表</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1276"/>
        <w:gridCol w:w="708"/>
        <w:gridCol w:w="1418"/>
        <w:gridCol w:w="1276"/>
        <w:gridCol w:w="3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tcBorders>
              <w:top w:val="single" w:color="auto" w:sz="4" w:space="0"/>
              <w:left w:val="single" w:color="auto" w:sz="4" w:space="0"/>
              <w:right w:val="single" w:color="auto" w:sz="4" w:space="0"/>
            </w:tcBorders>
            <w:vAlign w:val="center"/>
          </w:tcPr>
          <w:p>
            <w:pPr>
              <w:jc w:val="center"/>
              <w:rPr>
                <w:rFonts w:ascii="宋体" w:hAnsi="宋体" w:eastAsia="宋体" w:cs="Times New Roman"/>
                <w:b/>
                <w:bCs/>
                <w:sz w:val="24"/>
                <w:szCs w:val="24"/>
              </w:rPr>
            </w:pPr>
            <w:bookmarkStart w:id="8" w:name="_Hlk138842293"/>
            <w:r>
              <w:rPr>
                <w:rFonts w:ascii="宋体" w:hAnsi="宋体" w:eastAsia="宋体" w:cs="Times New Roman"/>
                <w:b/>
                <w:bCs/>
                <w:sz w:val="24"/>
                <w:szCs w:val="24"/>
                <w:lang w:eastAsia="zh-CN"/>
              </w:rPr>
              <w:br w:type="page"/>
            </w:r>
            <w:r>
              <w:rPr>
                <w:rFonts w:ascii="宋体" w:hAnsi="宋体" w:eastAsia="宋体" w:cs="Times New Roman"/>
                <w:b/>
                <w:bCs/>
                <w:sz w:val="24"/>
                <w:szCs w:val="24"/>
              </w:rPr>
              <w:t>标段</w:t>
            </w:r>
          </w:p>
        </w:tc>
        <w:tc>
          <w:tcPr>
            <w:tcW w:w="1276" w:type="dxa"/>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车辆类别</w:t>
            </w:r>
          </w:p>
        </w:tc>
        <w:tc>
          <w:tcPr>
            <w:tcW w:w="708" w:type="dxa"/>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数量</w:t>
            </w:r>
          </w:p>
        </w:tc>
        <w:tc>
          <w:tcPr>
            <w:tcW w:w="1418" w:type="dxa"/>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限价</w:t>
            </w:r>
          </w:p>
          <w:p>
            <w:pPr>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（万元/辆）</w:t>
            </w:r>
          </w:p>
        </w:tc>
        <w:tc>
          <w:tcPr>
            <w:tcW w:w="1276" w:type="dxa"/>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车身颜色</w:t>
            </w:r>
          </w:p>
        </w:tc>
        <w:tc>
          <w:tcPr>
            <w:tcW w:w="3485" w:type="dxa"/>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采购需求部门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8" w:type="dxa"/>
            <w:vMerge w:val="restart"/>
            <w:tcBorders>
              <w:left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r>
              <w:rPr>
                <w:rFonts w:ascii="宋体" w:hAnsi="宋体" w:eastAsia="宋体" w:cs="Times New Roman"/>
                <w:sz w:val="24"/>
                <w:szCs w:val="24"/>
                <w:lang w:eastAsia="zh-CN"/>
              </w:rPr>
              <w:t>标段</w:t>
            </w:r>
            <w:r>
              <w:rPr>
                <w:rFonts w:hint="eastAsia" w:ascii="宋体" w:hAnsi="宋体" w:eastAsia="宋体" w:cs="Times New Roman"/>
                <w:sz w:val="24"/>
                <w:szCs w:val="24"/>
                <w:lang w:eastAsia="zh-CN"/>
              </w:rPr>
              <w:t>3</w:t>
            </w:r>
          </w:p>
        </w:tc>
        <w:tc>
          <w:tcPr>
            <w:tcW w:w="1276" w:type="dxa"/>
            <w:tcBorders>
              <w:left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通勤30座</w:t>
            </w:r>
          </w:p>
        </w:tc>
        <w:tc>
          <w:tcPr>
            <w:tcW w:w="708" w:type="dxa"/>
            <w:tcBorders>
              <w:left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w:t>
            </w:r>
          </w:p>
        </w:tc>
        <w:tc>
          <w:tcPr>
            <w:tcW w:w="1418" w:type="dxa"/>
            <w:tcBorders>
              <w:left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39</w:t>
            </w:r>
          </w:p>
        </w:tc>
        <w:tc>
          <w:tcPr>
            <w:tcW w:w="1276" w:type="dxa"/>
            <w:tcBorders>
              <w:left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w:t>
            </w:r>
          </w:p>
        </w:tc>
        <w:tc>
          <w:tcPr>
            <w:tcW w:w="3485" w:type="dxa"/>
            <w:tcBorders>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河北高速公路集团有限公司大广分公司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8"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p>
        </w:tc>
        <w:tc>
          <w:tcPr>
            <w:tcW w:w="1276"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通勤39座</w:t>
            </w:r>
          </w:p>
        </w:tc>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4</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50.7</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w:t>
            </w:r>
          </w:p>
        </w:tc>
        <w:tc>
          <w:tcPr>
            <w:tcW w:w="3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河北高速公路集团有限公司大广分公司3辆、河北高速公路集团有限公司邢衡衡水分公司1辆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8"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p>
        </w:tc>
        <w:tc>
          <w:tcPr>
            <w:tcW w:w="1276"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通勤50座</w:t>
            </w:r>
          </w:p>
        </w:tc>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65</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w:t>
            </w:r>
          </w:p>
        </w:tc>
        <w:tc>
          <w:tcPr>
            <w:tcW w:w="3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河北高速公路集团有限公司京雄分公司</w:t>
            </w:r>
          </w:p>
        </w:tc>
      </w:tr>
      <w:bookmarkEnd w:id="8"/>
    </w:tbl>
    <w:p>
      <w:pPr>
        <w:pStyle w:val="13"/>
        <w:spacing w:line="360" w:lineRule="auto"/>
        <w:ind w:left="300" w:hanging="300" w:hangingChars="125"/>
        <w:jc w:val="both"/>
        <w:outlineLvl w:val="1"/>
        <w:rPr>
          <w:rFonts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注：中标人需与各采购需求部门签订车辆采购合同并按照各采购需求部门指定地点分别供货。</w:t>
      </w:r>
    </w:p>
    <w:bookmarkEnd w:id="4"/>
    <w:p>
      <w:pPr>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B63BF8"/>
    <w:rsid w:val="001639FF"/>
    <w:rsid w:val="00610F85"/>
    <w:rsid w:val="008F6846"/>
    <w:rsid w:val="009A23AF"/>
    <w:rsid w:val="00B63BF8"/>
    <w:rsid w:val="24E27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kern w:val="0"/>
      <w:sz w:val="22"/>
      <w:szCs w:val="22"/>
      <w:lang w:val="en-US" w:eastAsia="en-US" w:bidi="ar-SA"/>
    </w:rPr>
  </w:style>
  <w:style w:type="paragraph" w:styleId="5">
    <w:name w:val="heading 4"/>
    <w:basedOn w:val="1"/>
    <w:next w:val="1"/>
    <w:link w:val="9"/>
    <w:qFormat/>
    <w:uiPriority w:val="0"/>
    <w:pPr>
      <w:keepNext/>
      <w:keepLines/>
      <w:spacing w:before="280" w:after="290" w:line="376" w:lineRule="auto"/>
      <w:ind w:left="864" w:hanging="144"/>
      <w:jc w:val="both"/>
      <w:outlineLvl w:val="3"/>
    </w:pPr>
    <w:rPr>
      <w:rFonts w:ascii="Calibri Light" w:hAnsi="Calibri Light" w:eastAsia="宋体" w:cs="黑体"/>
      <w:b/>
      <w:bCs/>
      <w:kern w:val="2"/>
      <w:sz w:val="28"/>
      <w:szCs w:val="28"/>
      <w:lang w:eastAsia="zh-CN"/>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4"/>
    <w:link w:val="11"/>
    <w:qFormat/>
    <w:uiPriority w:val="0"/>
    <w:pPr>
      <w:ind w:firstLine="420" w:firstLineChars="200"/>
      <w:jc w:val="both"/>
    </w:pPr>
    <w:rPr>
      <w:rFonts w:ascii="Times New Roman" w:hAnsi="Times New Roman" w:eastAsia="宋体" w:cs="Times New Roman"/>
      <w:kern w:val="2"/>
      <w:sz w:val="21"/>
      <w:szCs w:val="24"/>
      <w:lang w:eastAsia="zh-CN"/>
    </w:rPr>
  </w:style>
  <w:style w:type="paragraph" w:styleId="3">
    <w:name w:val="Body Text Indent"/>
    <w:basedOn w:val="1"/>
    <w:link w:val="10"/>
    <w:semiHidden/>
    <w:unhideWhenUsed/>
    <w:uiPriority w:val="99"/>
    <w:pPr>
      <w:spacing w:after="120"/>
      <w:ind w:left="420" w:leftChars="200"/>
    </w:pPr>
  </w:style>
  <w:style w:type="paragraph" w:styleId="4">
    <w:name w:val="annotation text"/>
    <w:basedOn w:val="1"/>
    <w:link w:val="19"/>
    <w:semiHidden/>
    <w:unhideWhenUsed/>
    <w:uiPriority w:val="99"/>
  </w:style>
  <w:style w:type="paragraph" w:styleId="6">
    <w:name w:val="Body Text"/>
    <w:basedOn w:val="1"/>
    <w:next w:val="1"/>
    <w:link w:val="12"/>
    <w:qFormat/>
    <w:uiPriority w:val="0"/>
    <w:pPr>
      <w:ind w:left="100"/>
    </w:pPr>
    <w:rPr>
      <w:rFonts w:ascii="宋体" w:hAnsi="宋体" w:eastAsia="宋体"/>
      <w:sz w:val="21"/>
      <w:szCs w:val="21"/>
    </w:rPr>
  </w:style>
  <w:style w:type="character" w:customStyle="1" w:styleId="9">
    <w:name w:val="标题 4 字符"/>
    <w:basedOn w:val="8"/>
    <w:link w:val="5"/>
    <w:qFormat/>
    <w:uiPriority w:val="0"/>
    <w:rPr>
      <w:rFonts w:ascii="Calibri Light" w:hAnsi="Calibri Light" w:eastAsia="宋体" w:cs="黑体"/>
      <w:b/>
      <w:bCs/>
      <w:sz w:val="28"/>
      <w:szCs w:val="28"/>
    </w:rPr>
  </w:style>
  <w:style w:type="character" w:customStyle="1" w:styleId="10">
    <w:name w:val="正文文本缩进 字符"/>
    <w:basedOn w:val="8"/>
    <w:link w:val="3"/>
    <w:semiHidden/>
    <w:uiPriority w:val="99"/>
    <w:rPr>
      <w:kern w:val="0"/>
      <w:sz w:val="22"/>
      <w:lang w:eastAsia="en-US"/>
    </w:rPr>
  </w:style>
  <w:style w:type="character" w:customStyle="1" w:styleId="11">
    <w:name w:val="正文文本首行缩进 2 字符"/>
    <w:basedOn w:val="10"/>
    <w:link w:val="2"/>
    <w:qFormat/>
    <w:uiPriority w:val="0"/>
    <w:rPr>
      <w:rFonts w:ascii="Times New Roman" w:hAnsi="Times New Roman" w:eastAsia="宋体" w:cs="Times New Roman"/>
      <w:kern w:val="0"/>
      <w:sz w:val="22"/>
      <w:szCs w:val="24"/>
      <w:lang w:eastAsia="en-US"/>
    </w:rPr>
  </w:style>
  <w:style w:type="character" w:customStyle="1" w:styleId="12">
    <w:name w:val="正文文本 字符"/>
    <w:basedOn w:val="8"/>
    <w:link w:val="6"/>
    <w:qFormat/>
    <w:uiPriority w:val="0"/>
    <w:rPr>
      <w:rFonts w:ascii="宋体" w:hAnsi="宋体" w:eastAsia="宋体"/>
      <w:kern w:val="0"/>
      <w:szCs w:val="21"/>
      <w:lang w:eastAsia="en-US"/>
    </w:rPr>
  </w:style>
  <w:style w:type="paragraph" w:customStyle="1" w:styleId="13">
    <w:name w:val="标题 31"/>
    <w:basedOn w:val="1"/>
    <w:qFormat/>
    <w:uiPriority w:val="1"/>
    <w:pPr>
      <w:ind w:left="100"/>
      <w:outlineLvl w:val="3"/>
    </w:pPr>
    <w:rPr>
      <w:rFonts w:ascii="Microsoft JhengHei" w:hAnsi="Microsoft JhengHei" w:eastAsia="Microsoft JhengHei"/>
      <w:b/>
      <w:bCs/>
      <w:sz w:val="32"/>
      <w:szCs w:val="32"/>
    </w:rPr>
  </w:style>
  <w:style w:type="paragraph" w:customStyle="1" w:styleId="14">
    <w:name w:val="标题 41"/>
    <w:basedOn w:val="1"/>
    <w:qFormat/>
    <w:uiPriority w:val="1"/>
    <w:pPr>
      <w:ind w:left="237"/>
      <w:outlineLvl w:val="4"/>
    </w:pPr>
    <w:rPr>
      <w:rFonts w:ascii="宋体" w:hAnsi="宋体" w:eastAsia="宋体"/>
      <w:sz w:val="28"/>
      <w:szCs w:val="28"/>
    </w:rPr>
  </w:style>
  <w:style w:type="paragraph" w:styleId="15">
    <w:name w:val="List Paragraph"/>
    <w:basedOn w:val="1"/>
    <w:qFormat/>
    <w:uiPriority w:val="34"/>
  </w:style>
  <w:style w:type="paragraph" w:customStyle="1" w:styleId="16">
    <w:name w:val="目录1"/>
    <w:basedOn w:val="1"/>
    <w:qFormat/>
    <w:uiPriority w:val="99"/>
    <w:pPr>
      <w:adjustRightInd w:val="0"/>
      <w:spacing w:line="420" w:lineRule="atLeast"/>
      <w:jc w:val="both"/>
      <w:textAlignment w:val="baseline"/>
    </w:pPr>
    <w:rPr>
      <w:rFonts w:ascii="Times New Roman" w:hAnsi="Times New Roman" w:eastAsia="黑体" w:cs="Times New Roman"/>
      <w:b/>
      <w:sz w:val="21"/>
      <w:szCs w:val="20"/>
      <w:lang w:eastAsia="zh-CN"/>
    </w:rPr>
  </w:style>
  <w:style w:type="paragraph" w:customStyle="1" w:styleId="17">
    <w:name w:val="目录3"/>
    <w:basedOn w:val="1"/>
    <w:qFormat/>
    <w:uiPriority w:val="99"/>
    <w:pPr>
      <w:adjustRightInd w:val="0"/>
      <w:spacing w:line="420" w:lineRule="atLeast"/>
      <w:ind w:left="454"/>
      <w:jc w:val="both"/>
      <w:textAlignment w:val="baseline"/>
    </w:pPr>
    <w:rPr>
      <w:rFonts w:ascii="Times New Roman" w:hAnsi="Times New Roman" w:eastAsia="宋体" w:cs="Times New Roman"/>
      <w:sz w:val="21"/>
      <w:szCs w:val="20"/>
      <w:lang w:eastAsia="zh-CN"/>
    </w:rPr>
  </w:style>
  <w:style w:type="paragraph" w:styleId="18">
    <w:name w:val="No Spacing"/>
    <w:qFormat/>
    <w:uiPriority w:val="0"/>
    <w:pPr>
      <w:widowControl w:val="0"/>
      <w:jc w:val="both"/>
    </w:pPr>
    <w:rPr>
      <w:rFonts w:ascii="宋体" w:hAnsi="宋体" w:eastAsia="宋体" w:cs="Times New Roman"/>
      <w:kern w:val="2"/>
      <w:sz w:val="24"/>
      <w:szCs w:val="24"/>
      <w:lang w:val="en-US" w:eastAsia="zh-CN" w:bidi="ar-SA"/>
    </w:rPr>
  </w:style>
  <w:style w:type="character" w:customStyle="1" w:styleId="19">
    <w:name w:val="批注文字 字符"/>
    <w:basedOn w:val="8"/>
    <w:link w:val="4"/>
    <w:semiHidden/>
    <w:uiPriority w:val="99"/>
    <w:rPr>
      <w:kern w:val="0"/>
      <w:sz w:val="2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841</Words>
  <Characters>4795</Characters>
  <Lines>39</Lines>
  <Paragraphs>11</Paragraphs>
  <TotalTime>3</TotalTime>
  <ScaleCrop>false</ScaleCrop>
  <LinksUpToDate>false</LinksUpToDate>
  <CharactersWithSpaces>5625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2023-08-24T09:07:00Z</dcterms:created>
  <dc:creator>Zixuan Su</dc:creator>
  <cp:lastModifiedBy>李</cp:lastModifiedBy>
  <dcterms:modified xsi:type="dcterms:W3CDTF">2023-08-25T01:06:45Z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653AF2C1D9094409B6F0665C149AD5EC_12</vt:lpwstr>
  </property>
</Properties>
</file>