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Lines="50" w:afterLines="50" w:line="240" w:lineRule="auto"/>
      </w:pPr>
      <w:bookmarkStart w:id="10" w:name="_GoBack"/>
      <w:bookmarkEnd w:id="10"/>
      <w:bookmarkStart w:id="0" w:name="_Toc141780406"/>
      <w:bookmarkStart w:id="1" w:name="OLE_LINK3"/>
      <w:bookmarkStart w:id="2" w:name="OLE_LINK1"/>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具有独立法人资格或合伙制企业，具有有效的企业营业执照，并具备实施本项目的相应专业能力；</w:t>
            </w:r>
          </w:p>
          <w:p>
            <w:pPr>
              <w:snapToGrid w:val="0"/>
              <w:spacing w:line="360" w:lineRule="exact"/>
              <w:ind w:firstLine="420" w:firstLineChars="200"/>
              <w:rPr>
                <w:rFonts w:ascii="宋体" w:hAnsi="宋体"/>
                <w:kern w:val="0"/>
                <w:szCs w:val="21"/>
              </w:rPr>
            </w:pPr>
            <w:r>
              <w:rPr>
                <w:rFonts w:ascii="宋体" w:hAnsi="宋体"/>
                <w:kern w:val="0"/>
                <w:szCs w:val="21"/>
              </w:rPr>
              <w:t>具有财政部门</w:t>
            </w:r>
            <w:r>
              <w:rPr>
                <w:rFonts w:hint="eastAsia" w:ascii="宋体" w:hAnsi="宋体"/>
                <w:kern w:val="0"/>
                <w:szCs w:val="21"/>
              </w:rPr>
              <w:t>颁</w:t>
            </w:r>
            <w:r>
              <w:rPr>
                <w:rFonts w:ascii="宋体" w:hAnsi="宋体"/>
                <w:kern w:val="0"/>
                <w:szCs w:val="21"/>
              </w:rPr>
              <w:t>发的会计师事务所执业证书。</w:t>
            </w:r>
          </w:p>
        </w:tc>
      </w:tr>
    </w:tbl>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642" w:type="dxa"/>
            <w:vAlign w:val="center"/>
          </w:tcPr>
          <w:p>
            <w:pPr>
              <w:snapToGrid w:val="0"/>
              <w:spacing w:line="360" w:lineRule="exact"/>
              <w:ind w:firstLine="420" w:firstLineChars="200"/>
              <w:rPr>
                <w:rFonts w:ascii="宋体" w:hAnsi="宋体"/>
                <w:color w:val="FF0000"/>
                <w:szCs w:val="21"/>
              </w:rPr>
            </w:pPr>
            <w:r>
              <w:rPr>
                <w:rFonts w:hint="eastAsia" w:ascii="宋体" w:hAnsi="宋体"/>
                <w:kern w:val="0"/>
                <w:szCs w:val="21"/>
              </w:rPr>
              <w:t>近5年（2018年8月1日至投标截止时间，以合同签订时间为准），至少承担过1项交通行业审计项目。</w:t>
            </w:r>
          </w:p>
        </w:tc>
      </w:tr>
    </w:tbl>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投标人在过去1年中（2022年8月1日至投标截止时间）不曾在高速公路审计服务合同中违约被逐或因投标人自身的原因而使合同被解除。</w:t>
            </w:r>
          </w:p>
        </w:tc>
      </w:tr>
    </w:tbl>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6"/>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spacing w:line="360" w:lineRule="exact"/>
              <w:rPr>
                <w:rFonts w:ascii="宋体" w:hAnsi="宋体"/>
                <w:szCs w:val="21"/>
              </w:rPr>
            </w:pPr>
            <w:r>
              <w:rPr>
                <w:rFonts w:hint="eastAsia" w:ascii="宋体" w:hAnsi="宋体"/>
                <w:szCs w:val="21"/>
              </w:rPr>
              <w:t>注册会计师。</w:t>
            </w:r>
          </w:p>
          <w:p>
            <w:pPr>
              <w:spacing w:line="360" w:lineRule="exact"/>
              <w:rPr>
                <w:rFonts w:ascii="宋体" w:hAnsi="宋体"/>
                <w:szCs w:val="21"/>
              </w:rPr>
            </w:pPr>
            <w:r>
              <w:rPr>
                <w:rFonts w:hint="eastAsia" w:ascii="宋体" w:hAnsi="宋体"/>
                <w:kern w:val="0"/>
                <w:szCs w:val="21"/>
              </w:rPr>
              <w:t>近5年（2018年8月1日至投标截止时间，以合同签订时间为准），至少承担过1项经责审计或经营审计或管理审计项目。</w:t>
            </w:r>
          </w:p>
        </w:tc>
      </w:tr>
    </w:tbl>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附录5  资格审查条件（其他人员最低要求）</w:t>
      </w:r>
    </w:p>
    <w:p>
      <w:pPr>
        <w:jc w:val="center"/>
        <w:rPr>
          <w:rFonts w:ascii="宋体" w:hAnsi="宋体"/>
          <w:b/>
          <w:sz w:val="24"/>
          <w:szCs w:val="24"/>
        </w:rPr>
      </w:pPr>
    </w:p>
    <w:tbl>
      <w:tblPr>
        <w:tblStyle w:val="6"/>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300" w:type="dxa"/>
            <w:vAlign w:val="center"/>
          </w:tcPr>
          <w:p>
            <w:pPr>
              <w:jc w:val="center"/>
              <w:rPr>
                <w:rFonts w:ascii="宋体" w:hAnsi="宋体"/>
                <w:szCs w:val="21"/>
              </w:rPr>
            </w:pPr>
            <w:r>
              <w:rPr>
                <w:rFonts w:hint="eastAsia" w:ascii="宋体" w:hAnsi="宋体"/>
                <w:szCs w:val="21"/>
              </w:rPr>
              <w:t>其他人员</w:t>
            </w:r>
          </w:p>
        </w:tc>
        <w:tc>
          <w:tcPr>
            <w:tcW w:w="992" w:type="dxa"/>
            <w:vAlign w:val="center"/>
          </w:tcPr>
          <w:p>
            <w:pPr>
              <w:jc w:val="center"/>
              <w:rPr>
                <w:rFonts w:ascii="宋体" w:hAnsi="宋体"/>
                <w:szCs w:val="21"/>
              </w:rPr>
            </w:pPr>
            <w:r>
              <w:rPr>
                <w:rFonts w:hint="eastAsia" w:ascii="宋体" w:hAnsi="宋体"/>
                <w:szCs w:val="21"/>
              </w:rPr>
              <w:t>6</w:t>
            </w:r>
          </w:p>
        </w:tc>
        <w:tc>
          <w:tcPr>
            <w:tcW w:w="6379" w:type="dxa"/>
            <w:vAlign w:val="center"/>
          </w:tcPr>
          <w:p>
            <w:pPr>
              <w:spacing w:line="360" w:lineRule="exact"/>
              <w:rPr>
                <w:rFonts w:ascii="宋体" w:hAnsi="宋体"/>
                <w:szCs w:val="21"/>
              </w:rPr>
            </w:pPr>
            <w:r>
              <w:rPr>
                <w:rFonts w:hint="eastAsia" w:ascii="宋体" w:hAnsi="宋体"/>
                <w:szCs w:val="21"/>
              </w:rPr>
              <w:t>其中2名注册会计师，4名成员。</w:t>
            </w:r>
          </w:p>
        </w:tc>
      </w:tr>
    </w:tbl>
    <w:p>
      <w:pPr>
        <w:pStyle w:val="2"/>
        <w:snapToGrid w:val="0"/>
        <w:spacing w:beforeLines="50" w:afterLines="50" w:line="240" w:lineRule="auto"/>
        <w:rPr>
          <w:rFonts w:ascii="宋体" w:hAnsi="宋体"/>
          <w:sz w:val="24"/>
          <w:szCs w:val="24"/>
        </w:rPr>
      </w:pPr>
      <w:r>
        <w:rPr>
          <w:rFonts w:ascii="黑体" w:eastAsia="黑体"/>
          <w:spacing w:val="-8"/>
          <w:sz w:val="24"/>
          <w:szCs w:val="24"/>
        </w:rPr>
        <w:br w:type="page"/>
      </w:r>
      <w:bookmarkStart w:id="3" w:name="_Toc141780407"/>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3"/>
    </w:p>
    <w:p>
      <w:pPr>
        <w:pStyle w:val="2"/>
        <w:snapToGrid w:val="0"/>
        <w:spacing w:before="120" w:after="120" w:line="240" w:lineRule="auto"/>
        <w:rPr>
          <w:sz w:val="24"/>
          <w:szCs w:val="24"/>
        </w:rPr>
      </w:pPr>
      <w:bookmarkStart w:id="4" w:name="_Toc138793770"/>
      <w:bookmarkStart w:id="5" w:name="_Toc65857110"/>
      <w:bookmarkStart w:id="6" w:name="_Toc65820978"/>
      <w:bookmarkStart w:id="7" w:name="_Toc66984522"/>
      <w:bookmarkStart w:id="8" w:name="_Toc141780408"/>
      <w:bookmarkStart w:id="9" w:name="_Toc66337244"/>
      <w:r>
        <w:rPr>
          <w:rFonts w:hint="eastAsia"/>
          <w:sz w:val="24"/>
          <w:szCs w:val="24"/>
        </w:rPr>
        <w:t>评标办法前附表</w:t>
      </w:r>
      <w:bookmarkEnd w:id="4"/>
      <w:bookmarkEnd w:id="5"/>
      <w:bookmarkEnd w:id="6"/>
      <w:bookmarkEnd w:id="7"/>
      <w:bookmarkEnd w:id="8"/>
      <w:bookmarkEnd w:id="9"/>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006"/>
        <w:gridCol w:w="7"/>
        <w:gridCol w:w="677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9" w:type="pct"/>
            <w:gridSpan w:val="3"/>
            <w:vAlign w:val="center"/>
          </w:tcPr>
          <w:p>
            <w:pPr>
              <w:jc w:val="center"/>
              <w:rPr>
                <w:rFonts w:ascii="Times New Roman" w:hAnsi="Times New Roman"/>
              </w:rPr>
            </w:pPr>
            <w:r>
              <w:rPr>
                <w:rFonts w:ascii="Times New Roman" w:hAnsi="Times New Roman"/>
              </w:rPr>
              <w:t>条款号</w:t>
            </w:r>
          </w:p>
        </w:tc>
        <w:tc>
          <w:tcPr>
            <w:tcW w:w="3981" w:type="pct"/>
            <w:gridSpan w:val="2"/>
            <w:vAlign w:val="center"/>
          </w:tcPr>
          <w:p>
            <w:pPr>
              <w:jc w:val="center"/>
              <w:rPr>
                <w:rFonts w:ascii="Times New Roman" w:hAnsi="Times New Roman"/>
              </w:rPr>
            </w:pPr>
            <w:r>
              <w:rPr>
                <w:rFonts w:ascii="Times New Roman" w:hAnsi="Times New Roman"/>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7" w:hRule="atLeast"/>
        </w:trPr>
        <w:tc>
          <w:tcPr>
            <w:tcW w:w="425" w:type="pct"/>
            <w:vAlign w:val="center"/>
          </w:tcPr>
          <w:p>
            <w:pPr>
              <w:jc w:val="center"/>
              <w:rPr>
                <w:rFonts w:ascii="Times New Roman" w:hAnsi="Times New Roman"/>
              </w:rPr>
            </w:pPr>
            <w:r>
              <w:rPr>
                <w:rFonts w:ascii="Times New Roman" w:hAnsi="Times New Roman"/>
              </w:rPr>
              <w:t>1</w:t>
            </w:r>
          </w:p>
        </w:tc>
        <w:tc>
          <w:tcPr>
            <w:tcW w:w="590" w:type="pct"/>
            <w:vAlign w:val="center"/>
          </w:tcPr>
          <w:p>
            <w:pPr>
              <w:jc w:val="center"/>
              <w:rPr>
                <w:rFonts w:ascii="Times New Roman" w:hAnsi="Times New Roman"/>
              </w:rPr>
            </w:pPr>
            <w:r>
              <w:rPr>
                <w:rFonts w:ascii="Times New Roman" w:hAnsi="Times New Roman"/>
              </w:rPr>
              <w:t>评标</w:t>
            </w:r>
          </w:p>
          <w:p>
            <w:pPr>
              <w:jc w:val="center"/>
              <w:rPr>
                <w:rFonts w:ascii="Times New Roman" w:hAnsi="Times New Roman"/>
              </w:rPr>
            </w:pPr>
            <w:r>
              <w:rPr>
                <w:rFonts w:ascii="Times New Roman" w:hAnsi="Times New Roman"/>
              </w:rPr>
              <w:t>方法</w:t>
            </w:r>
          </w:p>
        </w:tc>
        <w:tc>
          <w:tcPr>
            <w:tcW w:w="3981" w:type="pct"/>
            <w:gridSpan w:val="2"/>
            <w:vAlign w:val="center"/>
          </w:tcPr>
          <w:p>
            <w:pPr>
              <w:ind w:firstLine="315" w:firstLineChars="150"/>
              <w:rPr>
                <w:rFonts w:ascii="Times New Roman" w:hAnsi="Times New Roman"/>
              </w:rPr>
            </w:pPr>
            <w:r>
              <w:rPr>
                <w:rFonts w:ascii="Times New Roman" w:hAnsi="Times New Roman"/>
              </w:rPr>
              <w:t>本次评标采用综合评估法。评标委员会按照标段</w:t>
            </w:r>
            <w:r>
              <w:rPr>
                <w:rFonts w:hint="eastAsia" w:ascii="Times New Roman" w:hAnsi="Times New Roman"/>
              </w:rPr>
              <w:t>1至标段3的先后顺序评标，如果某一投标人在前一标段评标时被推荐为第一中标候选人，则在后续标段评标时不再被推荐为中标候选人。</w:t>
            </w:r>
          </w:p>
          <w:p>
            <w:pPr>
              <w:ind w:firstLine="315" w:firstLineChars="150"/>
              <w:rPr>
                <w:rFonts w:ascii="Times New Roman" w:hAnsi="Times New Roman"/>
              </w:rPr>
            </w:pPr>
            <w:r>
              <w:rPr>
                <w:rFonts w:ascii="Times New Roman" w:hAnsi="Times New Roman"/>
              </w:rPr>
              <w:t>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rPr>
                <w:rFonts w:ascii="Times New Roman" w:hAnsi="Times New Roman"/>
              </w:rPr>
            </w:pPr>
            <w:r>
              <w:rPr>
                <w:rFonts w:ascii="Times New Roman" w:hAnsi="Times New Roman"/>
              </w:rPr>
              <w:t>（1）评标价低的投标人优先；</w:t>
            </w:r>
          </w:p>
          <w:p>
            <w:pPr>
              <w:ind w:firstLine="315" w:firstLineChars="150"/>
              <w:rPr>
                <w:rFonts w:ascii="Times New Roman" w:hAnsi="Times New Roman"/>
              </w:rPr>
            </w:pPr>
            <w:r>
              <w:rPr>
                <w:rFonts w:ascii="Times New Roman" w:hAnsi="Times New Roman"/>
              </w:rPr>
              <w:t>（2）满足附录2资格审查条件(业绩最低要求) 的业绩累计以数量多的优先，数量相等时以金额高的优先。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425" w:type="pct"/>
            <w:vAlign w:val="center"/>
          </w:tcPr>
          <w:p>
            <w:pPr>
              <w:jc w:val="center"/>
              <w:rPr>
                <w:rFonts w:ascii="Times New Roman" w:hAnsi="Times New Roman"/>
              </w:rPr>
            </w:pPr>
            <w:r>
              <w:rPr>
                <w:rFonts w:ascii="Times New Roman" w:hAnsi="Times New Roman"/>
              </w:rPr>
              <w:t>2.1.1</w:t>
            </w:r>
          </w:p>
          <w:p>
            <w:pPr>
              <w:jc w:val="center"/>
              <w:rPr>
                <w:rFonts w:ascii="Times New Roman" w:hAnsi="Times New Roman"/>
              </w:rPr>
            </w:pPr>
            <w:r>
              <w:rPr>
                <w:rFonts w:ascii="Times New Roman" w:hAnsi="Times New Roman"/>
              </w:rPr>
              <w:t>2.1.3</w:t>
            </w:r>
          </w:p>
        </w:tc>
        <w:tc>
          <w:tcPr>
            <w:tcW w:w="590" w:type="pct"/>
            <w:vAlign w:val="center"/>
          </w:tcPr>
          <w:p>
            <w:pPr>
              <w:jc w:val="center"/>
              <w:rPr>
                <w:rFonts w:ascii="Times New Roman" w:hAnsi="Times New Roman"/>
              </w:rPr>
            </w:pPr>
            <w:r>
              <w:rPr>
                <w:rFonts w:ascii="Times New Roman" w:hAnsi="Times New Roman"/>
              </w:rPr>
              <w:t>形式评审与响应性评审标准</w:t>
            </w:r>
          </w:p>
        </w:tc>
        <w:tc>
          <w:tcPr>
            <w:tcW w:w="3981" w:type="pct"/>
            <w:gridSpan w:val="2"/>
          </w:tcPr>
          <w:p>
            <w:pPr>
              <w:tabs>
                <w:tab w:val="left" w:pos="3060"/>
              </w:tabs>
              <w:spacing w:line="320" w:lineRule="exact"/>
              <w:rPr>
                <w:rFonts w:ascii="Times New Roman" w:hAnsi="Times New Roman"/>
                <w:b/>
                <w:szCs w:val="21"/>
              </w:rPr>
            </w:pPr>
            <w:r>
              <w:rPr>
                <w:rFonts w:ascii="Times New Roman" w:hAnsi="Times New Roman"/>
                <w:b/>
                <w:szCs w:val="21"/>
              </w:rPr>
              <w:t>第一个信封（商务及技术文件）评审标准：</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（1）投标文件按照招标文件规定的格式、内容填写，字迹清晰可辨：</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a．投标函按招标文件规定填报了招标人名称、项目名称、标段号、补遗书编号（如有）、项目负责人相关信息、服务期限等内容；</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b．投标文件组成齐全完整，内容均按规定填写。</w:t>
            </w:r>
          </w:p>
          <w:p>
            <w:pPr>
              <w:tabs>
                <w:tab w:val="left" w:pos="3060"/>
              </w:tabs>
              <w:spacing w:line="320" w:lineRule="exact"/>
              <w:ind w:firstLine="210" w:firstLineChars="100"/>
              <w:rPr>
                <w:rFonts w:ascii="Times New Roman" w:hAnsi="Times New Roman"/>
                <w:bCs/>
                <w:szCs w:val="21"/>
              </w:rPr>
            </w:pPr>
            <w:r>
              <w:rPr>
                <w:rFonts w:ascii="Times New Roman" w:hAnsi="Times New Roman"/>
                <w:bCs/>
                <w:szCs w:val="21"/>
              </w:rPr>
              <w:t>（2）投标文件上法定代表人或其授权代理人的签字、投标人的单位章盖章齐全，符合招标文件规定。</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（3）投标人按照招标文件的规定提供了投标保证金：</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a.投标保证金金额符合招标文件规定的金额，且投标保证金有效期不少于投标有效期；</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b.若投标保证金采用</w:t>
            </w:r>
            <w:r>
              <w:rPr>
                <w:rFonts w:ascii="Times New Roman" w:hAnsi="Times New Roman"/>
                <w:kern w:val="0"/>
                <w:szCs w:val="21"/>
              </w:rPr>
              <w:t>电汇或转账</w:t>
            </w:r>
            <w:r>
              <w:rPr>
                <w:rFonts w:ascii="Times New Roman" w:hAnsi="Times New Roman"/>
                <w:szCs w:val="21"/>
              </w:rPr>
              <w:t>形式提交，投标人应在递交投标文件截止时间之前，将投标保证金由投标人的基本账户转入招标人指定账户；</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d</w:t>
            </w:r>
            <w:r>
              <w:rPr>
                <w:rFonts w:hint="eastAsia" w:ascii="Times New Roman" w:hAnsi="Times New Roman"/>
                <w:szCs w:val="21"/>
              </w:rPr>
              <w:t>.</w:t>
            </w:r>
            <w:r>
              <w:rPr>
                <w:rFonts w:ascii="Times New Roman" w:hAnsi="Times New Roman"/>
                <w:szCs w:val="21"/>
              </w:rPr>
              <w:t>若投标保证金采用保证保险或担保保函形式提交，投标人应满足招标文件要求。如为纸质保证保险、纸质担保保函还需在递交投标文件截止时间之前向招标人提交了纸质保证保险、纸质担保保函原件。</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（4）投标人法定代表人授权委托代理人签署投标文件的，须提交授权委托书。</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（5）投标人法定代表人亲自签署投标文件的，提供了法定代表人身份证明。</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（6）投标人未以联合体形式投标。</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（7）投标人未对本项目提出分包计划。</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（8）同一投标人在同一标段内未提交两个以上不同的投标文件。</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（9）投标文件中未出现有关投标报价的内容。</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（10）投标文件载明的招标项目完成期限未超过招标文件规定的时限。</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（11）投标文件对招标文件的实质性要求和条件作出响应。</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（12）权利义务符合招标文件规定：</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a.投标人应接受招标文件规定的风险划分原则，未提出新的风险划分办法；</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b.投标人未增加发包人的责任范围，或减少投标人义务；</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c.投标人未提出不同的支付办法；</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d.投标人对合同纠纷、事故处理办法未提出异议；</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e.投标人在投标活动中无欺诈行为；</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f.投标人未对合同条款有重要保留。</w:t>
            </w:r>
          </w:p>
          <w:p>
            <w:pPr>
              <w:tabs>
                <w:tab w:val="left" w:pos="3060"/>
              </w:tabs>
              <w:spacing w:line="320" w:lineRule="exact"/>
              <w:rPr>
                <w:rFonts w:ascii="Times New Roman" w:hAnsi="Times New Roman"/>
                <w:b/>
                <w:szCs w:val="21"/>
              </w:rPr>
            </w:pPr>
            <w:r>
              <w:rPr>
                <w:rFonts w:ascii="Times New Roman" w:hAnsi="Times New Roman"/>
                <w:b/>
                <w:szCs w:val="21"/>
              </w:rPr>
              <w:t>第二个信封（报价文件）评审标准：</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（1）投标文件按照招标文件规定的格式、内容填写，字迹清晰可辨，内容齐全完整：</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a．投标函按招标文件规定填报了招标人名称、项目名称、标段号、补遗书编号（如有）、投标价（包括大写金额和小写金额）；</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b．已标价报价清单说明（如有）文字与招标文件规定一致，未进行实质性修改和删减；</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c．投标文件组成齐全完整，内容均按规定填写。</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（3）投标报价中的报价未超过招标文件设定的最高投标限价。</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（4）投标报价中报价的大写金额能够确定具体数值。</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（5）投标人未提交两个以上不同的投标报价。</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（6）投标人未提交调价函。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900" w:hRule="atLeast"/>
        </w:trPr>
        <w:tc>
          <w:tcPr>
            <w:tcW w:w="425" w:type="pct"/>
            <w:vAlign w:val="center"/>
          </w:tcPr>
          <w:p>
            <w:pPr>
              <w:jc w:val="center"/>
              <w:rPr>
                <w:rFonts w:ascii="Times New Roman" w:hAnsi="Times New Roman"/>
              </w:rPr>
            </w:pPr>
            <w:r>
              <w:rPr>
                <w:rFonts w:ascii="Times New Roman" w:hAnsi="Times New Roman"/>
              </w:rPr>
              <w:t>2.1.2</w:t>
            </w:r>
          </w:p>
        </w:tc>
        <w:tc>
          <w:tcPr>
            <w:tcW w:w="590" w:type="pct"/>
            <w:vAlign w:val="center"/>
          </w:tcPr>
          <w:p>
            <w:pPr>
              <w:jc w:val="center"/>
              <w:rPr>
                <w:rFonts w:ascii="Times New Roman" w:hAnsi="Times New Roman"/>
              </w:rPr>
            </w:pPr>
            <w:r>
              <w:rPr>
                <w:rFonts w:ascii="Times New Roman" w:hAnsi="Times New Roman"/>
              </w:rPr>
              <w:t>资格评审标准</w:t>
            </w:r>
          </w:p>
        </w:tc>
        <w:tc>
          <w:tcPr>
            <w:tcW w:w="3981" w:type="pct"/>
            <w:gridSpan w:val="2"/>
            <w:vAlign w:val="center"/>
          </w:tcPr>
          <w:p>
            <w:pPr>
              <w:tabs>
                <w:tab w:val="left" w:pos="3060"/>
              </w:tabs>
              <w:spacing w:line="320" w:lineRule="exact"/>
              <w:ind w:firstLine="105" w:firstLineChars="50"/>
              <w:rPr>
                <w:rFonts w:ascii="Times New Roman" w:hAnsi="Times New Roman"/>
                <w:szCs w:val="21"/>
              </w:rPr>
            </w:pPr>
            <w:r>
              <w:rPr>
                <w:rFonts w:ascii="Times New Roman" w:hAnsi="Times New Roman"/>
                <w:szCs w:val="21"/>
              </w:rPr>
              <w:t>（1）投标人具备有效的营业执照、组织机构代码证（三证合一的除外）、资质证书和基本账户开户许可证（或基本存款账户信息）；</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（2）投标人的资质等级符合招标文件规定；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（3）投标人的类似项目业绩符合招标文件规定；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（4）投标人的信誉符合招标文件规定；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（5）投标人的项目负责人资格符合招标文件规定；</w:t>
            </w:r>
          </w:p>
          <w:p>
            <w:pPr>
              <w:tabs>
                <w:tab w:val="left" w:pos="3060"/>
              </w:tabs>
              <w:spacing w:line="320" w:lineRule="exact"/>
              <w:ind w:firstLine="105" w:firstLineChars="50"/>
              <w:rPr>
                <w:rFonts w:ascii="Times New Roman" w:hAnsi="Times New Roman"/>
                <w:szCs w:val="21"/>
              </w:rPr>
            </w:pPr>
            <w:r>
              <w:rPr>
                <w:rFonts w:hint="eastAsia" w:ascii="Times New Roman" w:hAnsi="Times New Roman"/>
                <w:szCs w:val="21"/>
              </w:rPr>
              <w:t>（6）</w:t>
            </w:r>
            <w:r>
              <w:rPr>
                <w:rFonts w:ascii="Times New Roman" w:hAnsi="Times New Roman"/>
                <w:szCs w:val="21"/>
              </w:rPr>
              <w:t>投标人的</w:t>
            </w:r>
            <w:r>
              <w:rPr>
                <w:rFonts w:hint="eastAsia" w:ascii="Times New Roman" w:hAnsi="Times New Roman"/>
                <w:szCs w:val="21"/>
              </w:rPr>
              <w:t>其他</w:t>
            </w:r>
            <w:r>
              <w:rPr>
                <w:rFonts w:ascii="Times New Roman" w:hAnsi="Times New Roman"/>
                <w:szCs w:val="21"/>
              </w:rPr>
              <w:t>人员资格符合招标文件规定；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836" w:hRule="atLeast"/>
        </w:trPr>
        <w:tc>
          <w:tcPr>
            <w:tcW w:w="425" w:type="pct"/>
            <w:vAlign w:val="center"/>
          </w:tcPr>
          <w:p>
            <w:pPr>
              <w:jc w:val="center"/>
              <w:rPr>
                <w:rFonts w:ascii="Times New Roman" w:hAnsi="Times New Roman"/>
              </w:rPr>
            </w:pPr>
            <w:r>
              <w:rPr>
                <w:rFonts w:ascii="Times New Roman" w:hAnsi="Times New Roman"/>
              </w:rPr>
              <w:t>2.2.1</w:t>
            </w:r>
          </w:p>
        </w:tc>
        <w:tc>
          <w:tcPr>
            <w:tcW w:w="590" w:type="pct"/>
            <w:vAlign w:val="center"/>
          </w:tcPr>
          <w:p>
            <w:pPr>
              <w:jc w:val="center"/>
              <w:rPr>
                <w:rFonts w:ascii="Times New Roman" w:hAnsi="Times New Roman"/>
              </w:rPr>
            </w:pPr>
            <w:r>
              <w:rPr>
                <w:rFonts w:ascii="Times New Roman" w:hAnsi="Times New Roman"/>
              </w:rPr>
              <w:t>分值构成（总分100分）</w:t>
            </w:r>
          </w:p>
        </w:tc>
        <w:tc>
          <w:tcPr>
            <w:tcW w:w="3981" w:type="pct"/>
            <w:gridSpan w:val="2"/>
            <w:vAlign w:val="center"/>
          </w:tcPr>
          <w:p>
            <w:pPr>
              <w:jc w:val="left"/>
              <w:rPr>
                <w:rFonts w:ascii="Times New Roman" w:hAnsi="Times New Roman"/>
                <w:b/>
              </w:rPr>
            </w:pPr>
            <w:r>
              <w:rPr>
                <w:rFonts w:ascii="Times New Roman" w:hAnsi="Times New Roman"/>
                <w:b/>
              </w:rPr>
              <w:t>第一个信封（商务及技术文件）评分分值构成：</w:t>
            </w:r>
          </w:p>
          <w:p>
            <w:pPr>
              <w:jc w:val="left"/>
              <w:rPr>
                <w:rFonts w:ascii="Times New Roman" w:hAnsi="Times New Roman"/>
                <w:b/>
              </w:rPr>
            </w:pPr>
            <w:r>
              <w:rPr>
                <w:rFonts w:ascii="Times New Roman" w:hAnsi="Times New Roman"/>
                <w:b/>
              </w:rPr>
              <w:t>商务及技术部分：</w:t>
            </w:r>
            <w:r>
              <w:rPr>
                <w:rFonts w:hint="eastAsia" w:ascii="Times New Roman" w:hAnsi="Times New Roman"/>
                <w:b/>
                <w:u w:val="single"/>
              </w:rPr>
              <w:t>90</w:t>
            </w:r>
            <w:r>
              <w:rPr>
                <w:rFonts w:ascii="Times New Roman" w:hAnsi="Times New Roman"/>
                <w:b/>
              </w:rPr>
              <w:t>分</w:t>
            </w:r>
          </w:p>
          <w:p>
            <w:pPr>
              <w:jc w:val="left"/>
              <w:rPr>
                <w:rFonts w:ascii="Times New Roman" w:hAnsi="Times New Roman"/>
                <w:b/>
              </w:rPr>
            </w:pPr>
          </w:p>
          <w:p>
            <w:pPr>
              <w:jc w:val="left"/>
              <w:rPr>
                <w:rFonts w:ascii="Times New Roman" w:hAnsi="Times New Roman"/>
                <w:b/>
              </w:rPr>
            </w:pPr>
            <w:r>
              <w:rPr>
                <w:rFonts w:ascii="Times New Roman" w:hAnsi="Times New Roman"/>
                <w:b/>
              </w:rPr>
              <w:t>第二个信封（报价文件）评分分值构成：</w:t>
            </w:r>
          </w:p>
          <w:p>
            <w:pPr>
              <w:jc w:val="left"/>
              <w:rPr>
                <w:rFonts w:ascii="Times New Roman" w:hAnsi="Times New Roman"/>
                <w:b/>
              </w:rPr>
            </w:pPr>
            <w:r>
              <w:rPr>
                <w:rFonts w:ascii="Times New Roman" w:hAnsi="Times New Roman"/>
                <w:b/>
              </w:rPr>
              <w:t>评标价：</w:t>
            </w:r>
            <w:r>
              <w:rPr>
                <w:rFonts w:hint="eastAsia" w:ascii="Times New Roman" w:hAnsi="Times New Roman"/>
                <w:b/>
                <w:u w:val="single"/>
              </w:rPr>
              <w:t>1</w:t>
            </w:r>
            <w:r>
              <w:rPr>
                <w:rFonts w:ascii="Times New Roman" w:hAnsi="Times New Roman"/>
                <w:b/>
                <w:u w:val="single"/>
              </w:rPr>
              <w:t>0</w:t>
            </w:r>
            <w:r>
              <w:rPr>
                <w:rFonts w:ascii="Times New Roman" w:hAnsi="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425" w:type="pct"/>
            <w:vAlign w:val="center"/>
          </w:tcPr>
          <w:p>
            <w:pPr>
              <w:jc w:val="center"/>
              <w:rPr>
                <w:rFonts w:ascii="Times New Roman" w:hAnsi="Times New Roman"/>
              </w:rPr>
            </w:pPr>
            <w:r>
              <w:rPr>
                <w:rFonts w:ascii="Times New Roman" w:hAnsi="Times New Roman"/>
              </w:rPr>
              <w:t>2.2.2</w:t>
            </w:r>
          </w:p>
        </w:tc>
        <w:tc>
          <w:tcPr>
            <w:tcW w:w="590" w:type="pct"/>
            <w:vAlign w:val="center"/>
          </w:tcPr>
          <w:p>
            <w:pPr>
              <w:jc w:val="center"/>
              <w:rPr>
                <w:rFonts w:ascii="Times New Roman" w:hAnsi="Times New Roman"/>
              </w:rPr>
            </w:pPr>
            <w:r>
              <w:rPr>
                <w:rFonts w:ascii="Times New Roman" w:hAnsi="Times New Roman"/>
              </w:rPr>
              <w:t>评标基准价计算方法</w:t>
            </w:r>
          </w:p>
        </w:tc>
        <w:tc>
          <w:tcPr>
            <w:tcW w:w="3981" w:type="pct"/>
            <w:gridSpan w:val="2"/>
            <w:vAlign w:val="center"/>
          </w:tcPr>
          <w:p>
            <w:pPr>
              <w:snapToGrid w:val="0"/>
              <w:spacing w:line="320" w:lineRule="exact"/>
              <w:jc w:val="left"/>
              <w:rPr>
                <w:rFonts w:ascii="Times New Roman" w:hAnsi="Times New Roman"/>
                <w:b/>
              </w:rPr>
            </w:pPr>
            <w:r>
              <w:rPr>
                <w:rFonts w:ascii="Times New Roman" w:hAnsi="Times New Roman"/>
                <w:b/>
              </w:rPr>
              <w:t>评标基准价的计算：</w:t>
            </w:r>
          </w:p>
          <w:p>
            <w:pPr>
              <w:snapToGrid w:val="0"/>
              <w:spacing w:line="320" w:lineRule="exact"/>
              <w:ind w:right="113"/>
              <w:rPr>
                <w:rFonts w:ascii="Times New Roman" w:hAnsi="Times New Roman"/>
                <w:szCs w:val="21"/>
              </w:rPr>
            </w:pPr>
            <w:r>
              <w:rPr>
                <w:rFonts w:ascii="Times New Roman" w:hAnsi="Times New Roman"/>
                <w:szCs w:val="21"/>
              </w:rPr>
              <w:t>在开标现场，招标人将当场计算并宣布评标基准价。</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（1）评标价的确定：</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评标价=投标函文字报价</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（2）评标价平均值的计算：</w:t>
            </w:r>
          </w:p>
          <w:p>
            <w:pPr>
              <w:snapToGrid w:val="0"/>
              <w:spacing w:line="320" w:lineRule="exact"/>
              <w:ind w:right="113" w:firstLine="426" w:firstLineChars="203"/>
              <w:rPr>
                <w:rFonts w:ascii="Times New Roman" w:hAnsi="Times New Roman"/>
                <w:szCs w:val="21"/>
              </w:rPr>
            </w:pPr>
            <w:r>
              <w:rPr>
                <w:rFonts w:ascii="Times New Roman" w:hAnsi="Times New Roman"/>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Times New Roman" w:hAnsi="Times New Roman"/>
                <w:szCs w:val="21"/>
              </w:rPr>
            </w:pPr>
            <w:r>
              <w:rPr>
                <w:rFonts w:ascii="Times New Roman" w:hAnsi="Times New Roman"/>
                <w:szCs w:val="21"/>
              </w:rPr>
              <w:t>（3）评标基准价的确定：</w:t>
            </w:r>
          </w:p>
          <w:p>
            <w:pPr>
              <w:snapToGrid w:val="0"/>
              <w:spacing w:line="320" w:lineRule="exact"/>
              <w:ind w:right="113" w:firstLine="426" w:firstLineChars="203"/>
              <w:rPr>
                <w:rFonts w:ascii="Times New Roman" w:hAnsi="Times New Roman"/>
                <w:szCs w:val="21"/>
              </w:rPr>
            </w:pPr>
            <w:r>
              <w:rPr>
                <w:rFonts w:ascii="Times New Roman" w:hAnsi="Times New Roman"/>
                <w:szCs w:val="21"/>
              </w:rPr>
              <w:t>将评标价平均值直接作为评标基准价（评标基准价保留小数点后两位，小数点后第三位四舍五入）。</w:t>
            </w:r>
          </w:p>
          <w:p>
            <w:pPr>
              <w:snapToGrid w:val="0"/>
              <w:spacing w:line="320" w:lineRule="exact"/>
              <w:ind w:firstLine="420" w:firstLineChars="200"/>
              <w:jc w:val="left"/>
              <w:rPr>
                <w:rFonts w:ascii="Times New Roman" w:hAnsi="Times New Roman"/>
              </w:rPr>
            </w:pPr>
            <w:r>
              <w:rPr>
                <w:rFonts w:ascii="Times New Roman" w:hAnsi="Times New Roman"/>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425" w:type="pct"/>
            <w:vAlign w:val="center"/>
          </w:tcPr>
          <w:p>
            <w:pPr>
              <w:jc w:val="center"/>
              <w:rPr>
                <w:rFonts w:ascii="Times New Roman" w:hAnsi="Times New Roman"/>
              </w:rPr>
            </w:pPr>
            <w:r>
              <w:rPr>
                <w:rFonts w:ascii="Times New Roman" w:hAnsi="Times New Roman"/>
              </w:rPr>
              <w:t>2.2.3</w:t>
            </w:r>
          </w:p>
        </w:tc>
        <w:tc>
          <w:tcPr>
            <w:tcW w:w="590" w:type="pct"/>
            <w:vAlign w:val="center"/>
          </w:tcPr>
          <w:p>
            <w:pPr>
              <w:jc w:val="center"/>
              <w:rPr>
                <w:rFonts w:ascii="Times New Roman" w:hAnsi="Times New Roman"/>
              </w:rPr>
            </w:pPr>
            <w:r>
              <w:rPr>
                <w:rFonts w:ascii="Times New Roman" w:hAnsi="Times New Roman"/>
              </w:rPr>
              <w:t>评标价的偏差率计算公式</w:t>
            </w:r>
          </w:p>
        </w:tc>
        <w:tc>
          <w:tcPr>
            <w:tcW w:w="3981" w:type="pct"/>
            <w:gridSpan w:val="2"/>
            <w:vAlign w:val="center"/>
          </w:tcPr>
          <w:p>
            <w:pPr>
              <w:jc w:val="left"/>
              <w:rPr>
                <w:rFonts w:ascii="Times New Roman" w:hAnsi="Times New Roman"/>
              </w:rPr>
            </w:pPr>
            <w:r>
              <w:rPr>
                <w:rFonts w:ascii="Times New Roman" w:hAnsi="Times New Roman"/>
              </w:rPr>
              <w:t>偏差率=100%×（投标人评标价-评标基准价）／评标基准价</w:t>
            </w:r>
          </w:p>
          <w:p>
            <w:pPr>
              <w:jc w:val="left"/>
              <w:rPr>
                <w:rFonts w:ascii="Times New Roman" w:hAnsi="Times New Roman"/>
              </w:rPr>
            </w:pPr>
            <w:r>
              <w:rPr>
                <w:rFonts w:ascii="Times New Roman" w:hAnsi="Times New Roman"/>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443" w:hRule="atLeast"/>
        </w:trPr>
        <w:tc>
          <w:tcPr>
            <w:tcW w:w="425" w:type="pct"/>
            <w:vAlign w:val="center"/>
          </w:tcPr>
          <w:p>
            <w:pPr>
              <w:jc w:val="center"/>
              <w:rPr>
                <w:rFonts w:ascii="Times New Roman" w:hAnsi="Times New Roman"/>
                <w:szCs w:val="21"/>
              </w:rPr>
            </w:pPr>
            <w:r>
              <w:rPr>
                <w:rFonts w:ascii="Times New Roman" w:hAnsi="Times New Roman"/>
              </w:rPr>
              <w:t>3.6.1</w:t>
            </w:r>
          </w:p>
        </w:tc>
        <w:tc>
          <w:tcPr>
            <w:tcW w:w="590" w:type="pct"/>
            <w:vAlign w:val="center"/>
          </w:tcPr>
          <w:p>
            <w:pPr>
              <w:adjustRightInd w:val="0"/>
              <w:snapToGrid w:val="0"/>
              <w:spacing w:line="300" w:lineRule="exact"/>
              <w:jc w:val="center"/>
              <w:rPr>
                <w:rFonts w:ascii="Times New Roman" w:hAnsi="Times New Roman"/>
              </w:rPr>
            </w:pPr>
            <w:r>
              <w:rPr>
                <w:rFonts w:ascii="Times New Roman" w:hAnsi="Times New Roman"/>
              </w:rPr>
              <w:t>信息查询</w:t>
            </w:r>
          </w:p>
        </w:tc>
        <w:tc>
          <w:tcPr>
            <w:tcW w:w="3981" w:type="pct"/>
            <w:gridSpan w:val="2"/>
            <w:vAlign w:val="center"/>
          </w:tcPr>
          <w:p>
            <w:pPr>
              <w:autoSpaceDE w:val="0"/>
              <w:autoSpaceDN w:val="0"/>
              <w:spacing w:line="273" w:lineRule="auto"/>
              <w:rPr>
                <w:rFonts w:ascii="Times New Roman" w:hAnsi="Times New Roman"/>
              </w:rPr>
            </w:pPr>
            <w:r>
              <w:rPr>
                <w:rFonts w:hint="eastAsia" w:ascii="Times New Roman" w:hAnsi="Times New Roman"/>
              </w:rPr>
              <w:t>本款修改为：</w:t>
            </w:r>
          </w:p>
          <w:p>
            <w:pPr>
              <w:autoSpaceDE w:val="0"/>
              <w:autoSpaceDN w:val="0"/>
              <w:spacing w:line="273" w:lineRule="auto"/>
              <w:rPr>
                <w:rFonts w:ascii="Times New Roman" w:hAnsi="Times New Roman"/>
              </w:rPr>
            </w:pPr>
            <w:r>
              <w:rPr>
                <w:rFonts w:hint="eastAsia" w:ascii="Times New Roman" w:hAnsi="Times New Roman"/>
              </w:rPr>
              <w:t>（1）投标人信用情况网页截图内容与在“国家企业信用信息公示系统”中严重违法失信企业名单（不含分公司）或在“信用中国”网站中失信被执行人名单、经营异常名录、重大税收违法失信主体名单、政府采购严重违法失信名单（均不含分公司）的复核结果一致。如投标人未提供相关网页截图或所附截图与复核结果不一致，评标委员会应否决其投标。</w:t>
            </w:r>
          </w:p>
          <w:p>
            <w:pPr>
              <w:autoSpaceDE w:val="0"/>
              <w:autoSpaceDN w:val="0"/>
              <w:spacing w:line="273" w:lineRule="auto"/>
              <w:rPr>
                <w:rFonts w:ascii="Times New Roman" w:hAnsi="Times New Roman"/>
              </w:rPr>
            </w:pPr>
            <w:r>
              <w:rPr>
                <w:rFonts w:hint="eastAsia" w:ascii="Times New Roman" w:hAnsi="Times New Roman"/>
              </w:rPr>
              <w:t>（2）评标委员会在评标时按照投标人提供的验证方式对银行保函（电子）、电子保函或电子保证保险进行验证。如投标人未提供银行保函（电子）、电子保函或电子保证保险的验证方式，或根据提供的验证方式无法核实的，评标委员会应否决其投标。</w:t>
            </w:r>
          </w:p>
          <w:p>
            <w:pPr>
              <w:autoSpaceDE w:val="0"/>
              <w:autoSpaceDN w:val="0"/>
              <w:spacing w:line="273" w:lineRule="auto"/>
              <w:ind w:firstLine="420" w:firstLineChars="200"/>
              <w:rPr>
                <w:rFonts w:ascii="Times New Roman" w:hAnsi="Times New Roman"/>
              </w:rPr>
            </w:pPr>
            <w:r>
              <w:rPr>
                <w:rFonts w:hint="eastAsia" w:ascii="Times New Roman" w:hAnsi="Times New Roman"/>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291" w:hRule="atLeast"/>
        </w:trPr>
        <w:tc>
          <w:tcPr>
            <w:tcW w:w="425" w:type="pct"/>
            <w:vAlign w:val="center"/>
          </w:tcPr>
          <w:p>
            <w:pPr>
              <w:jc w:val="center"/>
              <w:rPr>
                <w:rFonts w:ascii="Times New Roman" w:hAnsi="Times New Roman"/>
              </w:rPr>
            </w:pPr>
            <w:r>
              <w:rPr>
                <w:rFonts w:ascii="Times New Roman" w:hAnsi="Times New Roman"/>
              </w:rPr>
              <w:t>3.9.1</w:t>
            </w:r>
          </w:p>
        </w:tc>
        <w:tc>
          <w:tcPr>
            <w:tcW w:w="590" w:type="pct"/>
            <w:vAlign w:val="center"/>
          </w:tcPr>
          <w:p>
            <w:pPr>
              <w:ind w:left="-31" w:leftChars="-15" w:right="-77"/>
              <w:jc w:val="center"/>
              <w:rPr>
                <w:rFonts w:ascii="Times New Roman" w:hAnsi="Times New Roman"/>
                <w:szCs w:val="21"/>
              </w:rPr>
            </w:pPr>
            <w:r>
              <w:rPr>
                <w:rFonts w:ascii="Times New Roman" w:hAnsi="Times New Roman"/>
                <w:szCs w:val="21"/>
              </w:rPr>
              <w:t>评标结果</w:t>
            </w:r>
          </w:p>
        </w:tc>
        <w:tc>
          <w:tcPr>
            <w:tcW w:w="3981" w:type="pct"/>
            <w:gridSpan w:val="2"/>
            <w:vAlign w:val="center"/>
          </w:tcPr>
          <w:p>
            <w:pPr>
              <w:spacing w:line="340" w:lineRule="exact"/>
              <w:ind w:right="113" w:firstLine="426" w:firstLineChars="203"/>
              <w:rPr>
                <w:rFonts w:ascii="Times New Roman" w:hAnsi="Times New Roman"/>
                <w:szCs w:val="21"/>
              </w:rPr>
            </w:pPr>
            <w:r>
              <w:rPr>
                <w:rFonts w:ascii="Times New Roman" w:hAnsi="Times New Roman"/>
                <w:szCs w:val="21"/>
              </w:rPr>
              <w:t>本款补充：</w:t>
            </w:r>
          </w:p>
          <w:p>
            <w:pPr>
              <w:spacing w:line="340" w:lineRule="exact"/>
              <w:ind w:right="113" w:firstLine="426" w:firstLineChars="203"/>
              <w:rPr>
                <w:rFonts w:ascii="Times New Roman" w:hAnsi="Times New Roman"/>
                <w:szCs w:val="21"/>
              </w:rPr>
            </w:pPr>
            <w:r>
              <w:rPr>
                <w:rFonts w:ascii="Times New Roman" w:hAnsi="Times New Roman"/>
                <w:bCs/>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按照评标办法前附表</w:t>
            </w:r>
            <w:r>
              <w:rPr>
                <w:rFonts w:hint="eastAsia" w:ascii="Times New Roman" w:hAnsi="Times New Roman"/>
                <w:bCs/>
                <w:szCs w:val="21"/>
              </w:rPr>
              <w:t>“</w:t>
            </w:r>
            <w:r>
              <w:rPr>
                <w:rFonts w:ascii="Times New Roman" w:hAnsi="Times New Roman"/>
                <w:bCs/>
                <w:szCs w:val="21"/>
              </w:rPr>
              <w:t>1.评标办法</w:t>
            </w:r>
            <w:r>
              <w:rPr>
                <w:rFonts w:hint="eastAsia" w:ascii="Times New Roman" w:hAnsi="Times New Roman"/>
                <w:bCs/>
                <w:szCs w:val="21"/>
              </w:rPr>
              <w:t>”</w:t>
            </w:r>
            <w:r>
              <w:rPr>
                <w:rFonts w:ascii="Times New Roman" w:hAnsi="Times New Roman"/>
                <w:bCs/>
                <w:szCs w:val="21"/>
              </w:rPr>
              <w:t>的规定推荐中标候选人。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5"/>
            <w:vAlign w:val="center"/>
          </w:tcPr>
          <w:p>
            <w:pPr>
              <w:spacing w:line="340" w:lineRule="exact"/>
              <w:ind w:right="113"/>
              <w:rPr>
                <w:rFonts w:ascii="Times New Roman" w:hAnsi="Times New Roman"/>
                <w:bCs/>
                <w:szCs w:val="21"/>
              </w:rPr>
            </w:pPr>
            <w:r>
              <w:rPr>
                <w:rFonts w:ascii="Times New Roman" w:hAnsi="Times New Roman"/>
                <w:szCs w:val="21"/>
              </w:rPr>
              <w:t>需要补充的其他内容：</w:t>
            </w:r>
            <w:r>
              <w:rPr>
                <w:rFonts w:ascii="Times New Roman" w:hAnsi="Times New Roman"/>
                <w:bCs/>
                <w:szCs w:val="21"/>
              </w:rPr>
              <w:t>无</w:t>
            </w:r>
          </w:p>
        </w:tc>
      </w:tr>
    </w:tbl>
    <w:p/>
    <w:p>
      <w:pPr>
        <w:jc w:val="right"/>
      </w:pPr>
      <w:r>
        <w:br w:type="page"/>
      </w:r>
      <w:r>
        <w:rPr>
          <w:rFonts w:hint="eastAsia"/>
        </w:rPr>
        <w:t>续上表</w:t>
      </w:r>
    </w:p>
    <w:tbl>
      <w:tblPr>
        <w:tblStyle w:val="6"/>
        <w:tblW w:w="9198"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709"/>
        <w:gridCol w:w="4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Times New Roman" w:hAnsi="Times New Roman"/>
                <w:b/>
                <w:kern w:val="0"/>
                <w:szCs w:val="21"/>
              </w:rPr>
            </w:pPr>
            <w:r>
              <w:rPr>
                <w:rFonts w:ascii="Times New Roman" w:hAnsi="Times New Roman"/>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Times New Roman" w:hAnsi="Times New Roman"/>
                <w:b/>
                <w:kern w:val="0"/>
                <w:szCs w:val="21"/>
              </w:rPr>
            </w:pPr>
            <w:r>
              <w:rPr>
                <w:rFonts w:ascii="Times New Roman" w:hAnsi="Times New Roman"/>
                <w:b/>
                <w:kern w:val="0"/>
                <w:szCs w:val="21"/>
              </w:rPr>
              <w:t>评审因素与权重分值</w:t>
            </w:r>
          </w:p>
        </w:tc>
        <w:tc>
          <w:tcPr>
            <w:tcW w:w="4677" w:type="dxa"/>
            <w:vMerge w:val="restart"/>
            <w:tcBorders>
              <w:left w:val="single" w:color="auto" w:sz="4" w:space="0"/>
            </w:tcBorders>
            <w:vAlign w:val="center"/>
          </w:tcPr>
          <w:p>
            <w:pPr>
              <w:autoSpaceDE w:val="0"/>
              <w:autoSpaceDN w:val="0"/>
              <w:spacing w:line="440" w:lineRule="exact"/>
              <w:ind w:right="11"/>
              <w:jc w:val="center"/>
              <w:rPr>
                <w:rFonts w:ascii="Times New Roman" w:hAnsi="Times New Roman"/>
                <w:b/>
                <w:kern w:val="0"/>
                <w:szCs w:val="21"/>
              </w:rPr>
            </w:pPr>
            <w:r>
              <w:rPr>
                <w:rFonts w:ascii="Times New Roman" w:hAnsi="Times New Roman"/>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Times New Roman" w:hAnsi="Times New Roman"/>
                <w:kern w:val="0"/>
                <w:szCs w:val="21"/>
              </w:rPr>
            </w:pPr>
            <w:r>
              <w:rPr>
                <w:rFonts w:ascii="Times New Roman" w:hAnsi="Times New Roman"/>
              </w:rPr>
              <w:t>2.2.4(1)</w:t>
            </w:r>
          </w:p>
        </w:tc>
        <w:tc>
          <w:tcPr>
            <w:tcW w:w="516" w:type="dxa"/>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评分</w:t>
            </w:r>
          </w:p>
          <w:p>
            <w:pPr>
              <w:autoSpaceDE w:val="0"/>
              <w:autoSpaceDN w:val="0"/>
              <w:snapToGrid w:val="0"/>
              <w:ind w:right="11"/>
              <w:jc w:val="center"/>
              <w:rPr>
                <w:rFonts w:ascii="Times New Roman" w:hAnsi="Times New Roman"/>
                <w:kern w:val="0"/>
                <w:szCs w:val="21"/>
              </w:rPr>
            </w:pPr>
            <w:r>
              <w:rPr>
                <w:rFonts w:ascii="Times New Roman" w:hAnsi="Times New Roman"/>
                <w:kern w:val="0"/>
                <w:szCs w:val="21"/>
              </w:rPr>
              <w:t>因素</w:t>
            </w:r>
          </w:p>
        </w:tc>
        <w:tc>
          <w:tcPr>
            <w:tcW w:w="837" w:type="dxa"/>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各评分因素</w:t>
            </w:r>
          </w:p>
          <w:p>
            <w:pPr>
              <w:autoSpaceDE w:val="0"/>
              <w:autoSpaceDN w:val="0"/>
              <w:snapToGrid w:val="0"/>
              <w:ind w:right="11"/>
              <w:jc w:val="center"/>
              <w:rPr>
                <w:rFonts w:ascii="Times New Roman" w:hAnsi="Times New Roman"/>
                <w:kern w:val="0"/>
                <w:szCs w:val="21"/>
              </w:rPr>
            </w:pPr>
            <w:r>
              <w:rPr>
                <w:rFonts w:ascii="Times New Roman" w:hAnsi="Times New Roman"/>
                <w:kern w:val="0"/>
                <w:szCs w:val="21"/>
              </w:rPr>
              <w:t>细分项</w:t>
            </w:r>
          </w:p>
        </w:tc>
        <w:tc>
          <w:tcPr>
            <w:tcW w:w="709" w:type="dxa"/>
            <w:tcBorders>
              <w:left w:val="single" w:color="auto" w:sz="4" w:space="0"/>
              <w:right w:val="single" w:color="auto" w:sz="4" w:space="0"/>
            </w:tcBorders>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分值</w:t>
            </w:r>
          </w:p>
        </w:tc>
        <w:tc>
          <w:tcPr>
            <w:tcW w:w="4677" w:type="dxa"/>
            <w:vMerge w:val="continue"/>
            <w:tcBorders>
              <w:left w:val="single" w:color="auto" w:sz="4" w:space="0"/>
              <w:bottom w:val="single" w:color="auto" w:sz="4" w:space="0"/>
            </w:tcBorders>
            <w:vAlign w:val="center"/>
          </w:tcPr>
          <w:p>
            <w:pPr>
              <w:autoSpaceDE w:val="0"/>
              <w:autoSpaceDN w:val="0"/>
              <w:snapToGrid w:val="0"/>
              <w:ind w:right="11"/>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2" w:hRule="atLeast"/>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restart"/>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 xml:space="preserve">商务及技术部分 </w:t>
            </w:r>
          </w:p>
        </w:tc>
        <w:tc>
          <w:tcPr>
            <w:tcW w:w="837" w:type="dxa"/>
            <w:vMerge w:val="restart"/>
            <w:vAlign w:val="center"/>
          </w:tcPr>
          <w:p>
            <w:pPr>
              <w:autoSpaceDE w:val="0"/>
              <w:autoSpaceDN w:val="0"/>
              <w:snapToGrid w:val="0"/>
              <w:ind w:right="11"/>
              <w:jc w:val="center"/>
              <w:rPr>
                <w:rFonts w:ascii="Times New Roman" w:hAnsi="Times New Roman"/>
                <w:kern w:val="0"/>
                <w:szCs w:val="21"/>
              </w:rPr>
            </w:pPr>
            <w:r>
              <w:rPr>
                <w:rFonts w:hint="eastAsia" w:ascii="Times New Roman" w:hAnsi="Times New Roman"/>
                <w:kern w:val="0"/>
                <w:szCs w:val="21"/>
              </w:rPr>
              <w:t>9</w:t>
            </w:r>
            <w:r>
              <w:rPr>
                <w:rFonts w:ascii="Times New Roman" w:hAnsi="Times New Roman"/>
                <w:kern w:val="0"/>
                <w:szCs w:val="21"/>
              </w:rPr>
              <w:t>0分</w:t>
            </w: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 w:val="21"/>
                <w:szCs w:val="21"/>
              </w:rPr>
              <w:t>业绩</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kern w:val="2"/>
                <w:sz w:val="21"/>
                <w:szCs w:val="21"/>
              </w:rPr>
            </w:pPr>
            <w:r>
              <w:rPr>
                <w:rFonts w:hint="eastAsia" w:ascii="Times New Roman" w:hAnsi="Times New Roman"/>
                <w:sz w:val="21"/>
                <w:szCs w:val="21"/>
              </w:rPr>
              <w:t>5</w:t>
            </w:r>
            <w:r>
              <w:rPr>
                <w:rFonts w:ascii="Times New Roman" w:hAnsi="Times New Roman"/>
                <w:sz w:val="21"/>
                <w:szCs w:val="21"/>
              </w:rPr>
              <w:t>分</w:t>
            </w:r>
          </w:p>
        </w:tc>
        <w:tc>
          <w:tcPr>
            <w:tcW w:w="4677" w:type="dxa"/>
            <w:tcBorders>
              <w:top w:val="single" w:color="auto" w:sz="4" w:space="0"/>
              <w:left w:val="single" w:color="auto" w:sz="4" w:space="0"/>
            </w:tcBorders>
            <w:vAlign w:val="center"/>
          </w:tcPr>
          <w:p>
            <w:pPr>
              <w:pStyle w:val="3"/>
              <w:spacing w:line="360" w:lineRule="exact"/>
              <w:rPr>
                <w:rFonts w:ascii="Times New Roman" w:hAnsi="Times New Roman"/>
                <w:kern w:val="2"/>
                <w:sz w:val="21"/>
                <w:szCs w:val="24"/>
              </w:rPr>
            </w:pPr>
            <w:r>
              <w:rPr>
                <w:rFonts w:ascii="Times New Roman" w:hAnsi="Times New Roman"/>
                <w:kern w:val="2"/>
                <w:sz w:val="21"/>
                <w:szCs w:val="24"/>
              </w:rPr>
              <w:t>投标人满足“附录2  资格审查条件（业绩最低要求）”</w:t>
            </w:r>
            <w:r>
              <w:rPr>
                <w:rFonts w:hint="eastAsia" w:ascii="Times New Roman" w:hAnsi="Times New Roman"/>
                <w:kern w:val="2"/>
                <w:sz w:val="21"/>
                <w:szCs w:val="24"/>
              </w:rPr>
              <w:t>得3分</w:t>
            </w:r>
            <w:r>
              <w:rPr>
                <w:rFonts w:ascii="Times New Roman" w:hAnsi="Times New Roman"/>
                <w:kern w:val="2"/>
                <w:sz w:val="21"/>
                <w:szCs w:val="24"/>
              </w:rPr>
              <w:t>，每增加1项满足资格审查条件的业绩加</w:t>
            </w:r>
            <w:r>
              <w:rPr>
                <w:rFonts w:hint="eastAsia" w:ascii="Times New Roman" w:hAnsi="Times New Roman"/>
                <w:kern w:val="2"/>
                <w:sz w:val="21"/>
                <w:szCs w:val="24"/>
              </w:rPr>
              <w:t>1分，最多加2分。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0" w:hRule="atLeast"/>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sz w:val="21"/>
                <w:szCs w:val="21"/>
              </w:rPr>
            </w:pPr>
            <w:r>
              <w:rPr>
                <w:rFonts w:ascii="Times New Roman" w:hAnsi="Times New Roman"/>
                <w:sz w:val="21"/>
                <w:szCs w:val="21"/>
              </w:rPr>
              <w:t>项目负责人</w:t>
            </w:r>
          </w:p>
          <w:p>
            <w:pPr>
              <w:pStyle w:val="3"/>
              <w:snapToGrid w:val="0"/>
              <w:jc w:val="center"/>
              <w:rPr>
                <w:rFonts w:ascii="Times New Roman" w:hAnsi="Times New Roman"/>
                <w:sz w:val="21"/>
                <w:szCs w:val="21"/>
              </w:rPr>
            </w:pPr>
            <w:r>
              <w:rPr>
                <w:rFonts w:ascii="Times New Roman" w:hAnsi="Times New Roman"/>
                <w:sz w:val="21"/>
                <w:szCs w:val="21"/>
              </w:rPr>
              <w:t>业绩</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sz w:val="21"/>
                <w:szCs w:val="21"/>
              </w:rPr>
            </w:pPr>
            <w:r>
              <w:rPr>
                <w:rFonts w:hint="eastAsia" w:ascii="Times New Roman" w:hAnsi="Times New Roman"/>
                <w:sz w:val="21"/>
                <w:szCs w:val="21"/>
              </w:rPr>
              <w:t>5分</w:t>
            </w:r>
          </w:p>
        </w:tc>
        <w:tc>
          <w:tcPr>
            <w:tcW w:w="4677" w:type="dxa"/>
            <w:tcBorders>
              <w:top w:val="single" w:color="auto" w:sz="4" w:space="0"/>
              <w:left w:val="single" w:color="auto" w:sz="4" w:space="0"/>
            </w:tcBorders>
            <w:vAlign w:val="center"/>
          </w:tcPr>
          <w:p>
            <w:pPr>
              <w:pStyle w:val="3"/>
              <w:spacing w:line="360" w:lineRule="exact"/>
              <w:rPr>
                <w:rFonts w:ascii="Times New Roman" w:hAnsi="Times New Roman"/>
                <w:kern w:val="2"/>
                <w:sz w:val="21"/>
                <w:szCs w:val="24"/>
              </w:rPr>
            </w:pPr>
            <w:r>
              <w:rPr>
                <w:rFonts w:ascii="Times New Roman" w:hAnsi="Times New Roman"/>
                <w:sz w:val="21"/>
                <w:szCs w:val="21"/>
              </w:rPr>
              <w:t>项目负责人</w:t>
            </w:r>
            <w:r>
              <w:rPr>
                <w:rFonts w:ascii="Times New Roman" w:hAnsi="Times New Roman"/>
                <w:kern w:val="2"/>
                <w:sz w:val="21"/>
                <w:szCs w:val="24"/>
              </w:rPr>
              <w:t>满足“附录</w:t>
            </w:r>
            <w:r>
              <w:rPr>
                <w:rFonts w:hint="eastAsia" w:ascii="Times New Roman" w:hAnsi="Times New Roman"/>
                <w:kern w:val="2"/>
                <w:sz w:val="21"/>
                <w:szCs w:val="24"/>
              </w:rPr>
              <w:t>4</w:t>
            </w:r>
            <w:r>
              <w:rPr>
                <w:rFonts w:ascii="Times New Roman" w:hAnsi="Times New Roman"/>
                <w:kern w:val="2"/>
                <w:sz w:val="21"/>
                <w:szCs w:val="24"/>
              </w:rPr>
              <w:t xml:space="preserve">  资格审查条件（项目负责人最低要求）”</w:t>
            </w:r>
            <w:r>
              <w:rPr>
                <w:rFonts w:hint="eastAsia" w:ascii="Times New Roman" w:hAnsi="Times New Roman"/>
                <w:kern w:val="2"/>
                <w:sz w:val="21"/>
                <w:szCs w:val="24"/>
              </w:rPr>
              <w:t>得3分。</w:t>
            </w:r>
          </w:p>
          <w:p>
            <w:pPr>
              <w:pStyle w:val="3"/>
              <w:spacing w:line="360" w:lineRule="exact"/>
              <w:rPr>
                <w:rFonts w:ascii="Times New Roman" w:hAnsi="Times New Roman"/>
                <w:kern w:val="2"/>
                <w:sz w:val="21"/>
                <w:szCs w:val="24"/>
              </w:rPr>
            </w:pPr>
            <w:r>
              <w:rPr>
                <w:rFonts w:ascii="Times New Roman" w:hAnsi="Times New Roman"/>
                <w:sz w:val="21"/>
                <w:szCs w:val="21"/>
              </w:rPr>
              <w:t>项目负责人</w:t>
            </w:r>
            <w:r>
              <w:rPr>
                <w:rFonts w:hint="eastAsia" w:hAnsi="宋体"/>
                <w:szCs w:val="21"/>
              </w:rPr>
              <w:t>每增加一项</w:t>
            </w:r>
            <w:r>
              <w:rPr>
                <w:rFonts w:ascii="Times New Roman" w:hAnsi="Times New Roman"/>
                <w:kern w:val="2"/>
                <w:sz w:val="21"/>
                <w:szCs w:val="24"/>
              </w:rPr>
              <w:t>资格审查条件（项目负责人最低要求）的业绩加</w:t>
            </w:r>
            <w:r>
              <w:rPr>
                <w:rFonts w:hint="eastAsia" w:ascii="Times New Roman" w:hAnsi="Times New Roman"/>
                <w:kern w:val="2"/>
                <w:sz w:val="21"/>
                <w:szCs w:val="24"/>
              </w:rPr>
              <w:t>1分，最多加2分。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8" w:hRule="atLeast"/>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sz w:val="21"/>
                <w:szCs w:val="21"/>
              </w:rPr>
            </w:pPr>
            <w:r>
              <w:rPr>
                <w:rFonts w:ascii="Times New Roman" w:hAnsi="Times New Roman"/>
                <w:sz w:val="21"/>
                <w:szCs w:val="21"/>
              </w:rPr>
              <w:t>总体方案</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kern w:val="2"/>
                <w:sz w:val="21"/>
                <w:szCs w:val="21"/>
              </w:rPr>
            </w:pPr>
            <w:r>
              <w:rPr>
                <w:rFonts w:hint="eastAsia" w:ascii="Times New Roman" w:hAnsi="Times New Roman"/>
                <w:kern w:val="2"/>
                <w:sz w:val="21"/>
                <w:szCs w:val="21"/>
              </w:rPr>
              <w:t>20</w:t>
            </w:r>
            <w:r>
              <w:rPr>
                <w:rFonts w:ascii="Times New Roman" w:hAnsi="Times New Roman"/>
                <w:kern w:val="2"/>
                <w:sz w:val="21"/>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kern w:val="2"/>
                <w:sz w:val="21"/>
                <w:szCs w:val="21"/>
              </w:rPr>
            </w:pPr>
            <w:r>
              <w:rPr>
                <w:rFonts w:ascii="Times New Roman" w:hAnsi="Times New Roman"/>
                <w:kern w:val="2"/>
                <w:sz w:val="21"/>
                <w:szCs w:val="21"/>
              </w:rPr>
              <w:t>审计工作的总体规划合理、清晰、详细、全面，具有建设性意见及措施，得</w:t>
            </w:r>
            <w:r>
              <w:rPr>
                <w:rFonts w:hint="eastAsia" w:ascii="Times New Roman" w:hAnsi="Times New Roman"/>
                <w:kern w:val="2"/>
                <w:sz w:val="21"/>
                <w:szCs w:val="21"/>
              </w:rPr>
              <w:t>16</w:t>
            </w:r>
            <w:r>
              <w:rPr>
                <w:rFonts w:ascii="Times New Roman" w:hAnsi="Times New Roman"/>
                <w:kern w:val="2"/>
                <w:sz w:val="21"/>
                <w:szCs w:val="21"/>
              </w:rPr>
              <w:t>.</w:t>
            </w:r>
            <w:r>
              <w:rPr>
                <w:rFonts w:hint="eastAsia" w:ascii="Times New Roman" w:hAnsi="Times New Roman"/>
                <w:kern w:val="2"/>
                <w:sz w:val="21"/>
                <w:szCs w:val="21"/>
              </w:rPr>
              <w:t>0（不含）</w:t>
            </w:r>
            <w:r>
              <w:rPr>
                <w:rFonts w:ascii="Times New Roman" w:hAnsi="Times New Roman"/>
                <w:kern w:val="2"/>
                <w:sz w:val="21"/>
                <w:szCs w:val="21"/>
              </w:rPr>
              <w:t>-</w:t>
            </w:r>
            <w:r>
              <w:rPr>
                <w:rFonts w:hint="eastAsia" w:ascii="Times New Roman" w:hAnsi="Times New Roman"/>
                <w:kern w:val="2"/>
                <w:sz w:val="21"/>
                <w:szCs w:val="21"/>
              </w:rPr>
              <w:t>20（含）</w:t>
            </w:r>
            <w:r>
              <w:rPr>
                <w:rFonts w:ascii="Times New Roman" w:hAnsi="Times New Roman"/>
                <w:kern w:val="2"/>
                <w:sz w:val="21"/>
                <w:szCs w:val="21"/>
              </w:rPr>
              <w:t>分；较合理、清晰、详细、全面，得12.0（不含）-</w:t>
            </w:r>
            <w:r>
              <w:rPr>
                <w:rFonts w:hint="eastAsia" w:ascii="Times New Roman" w:hAnsi="Times New Roman"/>
                <w:kern w:val="2"/>
                <w:sz w:val="21"/>
                <w:szCs w:val="21"/>
              </w:rPr>
              <w:t>16</w:t>
            </w:r>
            <w:r>
              <w:rPr>
                <w:rFonts w:ascii="Times New Roman" w:hAnsi="Times New Roman"/>
                <w:kern w:val="2"/>
                <w:sz w:val="21"/>
                <w:szCs w:val="21"/>
              </w:rPr>
              <w:t>.0（含） 分；一般，得12</w:t>
            </w:r>
            <w:r>
              <w:rPr>
                <w:rFonts w:hint="eastAsia" w:ascii="Times New Roman" w:hAnsi="Times New Roman"/>
                <w:kern w:val="2"/>
                <w:sz w:val="21"/>
                <w:szCs w:val="21"/>
              </w:rPr>
              <w:t>.0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3" w:hRule="atLeast"/>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 w:val="21"/>
                <w:szCs w:val="21"/>
              </w:rPr>
              <w:t>审计范围、内容、步骤及程序</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kern w:val="2"/>
                <w:sz w:val="21"/>
                <w:szCs w:val="21"/>
              </w:rPr>
            </w:pPr>
            <w:r>
              <w:rPr>
                <w:rFonts w:ascii="Times New Roman" w:hAnsi="Times New Roman"/>
                <w:kern w:val="2"/>
                <w:sz w:val="21"/>
                <w:szCs w:val="21"/>
              </w:rPr>
              <w:t>1</w:t>
            </w:r>
            <w:r>
              <w:rPr>
                <w:rFonts w:hint="eastAsia" w:ascii="Times New Roman" w:hAnsi="Times New Roman"/>
                <w:kern w:val="2"/>
                <w:sz w:val="21"/>
                <w:szCs w:val="21"/>
              </w:rPr>
              <w:t>5</w:t>
            </w:r>
            <w:r>
              <w:rPr>
                <w:rFonts w:ascii="Times New Roman" w:hAnsi="Times New Roman"/>
                <w:kern w:val="2"/>
                <w:sz w:val="21"/>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sz w:val="21"/>
                <w:szCs w:val="21"/>
              </w:rPr>
            </w:pPr>
            <w:r>
              <w:rPr>
                <w:rFonts w:ascii="Times New Roman" w:hAnsi="Times New Roman"/>
                <w:sz w:val="21"/>
                <w:szCs w:val="21"/>
              </w:rPr>
              <w:t>审计范围、内容、步骤及程序明确、合理、可行性强，得</w:t>
            </w:r>
            <w:r>
              <w:rPr>
                <w:rFonts w:hint="eastAsia" w:ascii="Times New Roman" w:hAnsi="Times New Roman"/>
                <w:kern w:val="2"/>
                <w:sz w:val="21"/>
                <w:szCs w:val="21"/>
              </w:rPr>
              <w:t>12.0</w:t>
            </w:r>
            <w:r>
              <w:rPr>
                <w:rFonts w:ascii="Times New Roman" w:hAnsi="Times New Roman"/>
                <w:kern w:val="2"/>
                <w:sz w:val="21"/>
                <w:szCs w:val="21"/>
              </w:rPr>
              <w:t>（不含）-1</w:t>
            </w:r>
            <w:r>
              <w:rPr>
                <w:rFonts w:hint="eastAsia" w:ascii="Times New Roman" w:hAnsi="Times New Roman"/>
                <w:kern w:val="2"/>
                <w:sz w:val="21"/>
                <w:szCs w:val="21"/>
              </w:rPr>
              <w:t>5.0（含）</w:t>
            </w:r>
            <w:r>
              <w:rPr>
                <w:rFonts w:ascii="Times New Roman" w:hAnsi="Times New Roman"/>
                <w:sz w:val="21"/>
                <w:szCs w:val="21"/>
              </w:rPr>
              <w:t>分；较明确、合理，得</w:t>
            </w:r>
            <w:r>
              <w:rPr>
                <w:rFonts w:hint="eastAsia" w:ascii="Times New Roman" w:hAnsi="Times New Roman"/>
                <w:kern w:val="2"/>
                <w:sz w:val="21"/>
                <w:szCs w:val="21"/>
              </w:rPr>
              <w:t>9.0</w:t>
            </w:r>
            <w:r>
              <w:rPr>
                <w:rFonts w:ascii="Times New Roman" w:hAnsi="Times New Roman"/>
                <w:kern w:val="2"/>
                <w:sz w:val="21"/>
                <w:szCs w:val="21"/>
              </w:rPr>
              <w:t>（不含）-</w:t>
            </w:r>
            <w:r>
              <w:rPr>
                <w:rFonts w:hint="eastAsia" w:ascii="Times New Roman" w:hAnsi="Times New Roman"/>
                <w:kern w:val="2"/>
                <w:sz w:val="21"/>
                <w:szCs w:val="21"/>
              </w:rPr>
              <w:t>12</w:t>
            </w:r>
            <w:r>
              <w:rPr>
                <w:rFonts w:ascii="Times New Roman" w:hAnsi="Times New Roman"/>
                <w:kern w:val="2"/>
                <w:sz w:val="21"/>
                <w:szCs w:val="21"/>
              </w:rPr>
              <w:t>.0</w:t>
            </w:r>
            <w:r>
              <w:rPr>
                <w:rFonts w:hint="eastAsia" w:ascii="Times New Roman" w:hAnsi="Times New Roman"/>
                <w:kern w:val="2"/>
                <w:sz w:val="21"/>
                <w:szCs w:val="21"/>
              </w:rPr>
              <w:t>（含）</w:t>
            </w:r>
            <w:r>
              <w:rPr>
                <w:rFonts w:ascii="Times New Roman" w:hAnsi="Times New Roman"/>
                <w:sz w:val="21"/>
                <w:szCs w:val="21"/>
              </w:rPr>
              <w:t>分；</w:t>
            </w:r>
            <w:r>
              <w:rPr>
                <w:rFonts w:ascii="Times New Roman" w:hAnsi="Times New Roman"/>
                <w:kern w:val="2"/>
                <w:sz w:val="21"/>
                <w:szCs w:val="21"/>
              </w:rPr>
              <w:t>一般，得</w:t>
            </w:r>
            <w:r>
              <w:rPr>
                <w:rFonts w:hint="eastAsia" w:ascii="Times New Roman" w:hAnsi="Times New Roman"/>
                <w:kern w:val="2"/>
                <w:sz w:val="21"/>
                <w:szCs w:val="21"/>
              </w:rPr>
              <w:t>9.0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3" w:hRule="atLeast"/>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Times New Roman" w:hAnsi="Times New Roman"/>
                <w:szCs w:val="21"/>
              </w:rPr>
            </w:pPr>
            <w:r>
              <w:rPr>
                <w:rFonts w:ascii="Times New Roman" w:hAnsi="Times New Roman"/>
                <w:kern w:val="0"/>
                <w:szCs w:val="21"/>
              </w:rPr>
              <w:t>工作进度安排</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kern w:val="2"/>
                <w:sz w:val="21"/>
                <w:szCs w:val="21"/>
              </w:rPr>
            </w:pPr>
            <w:r>
              <w:rPr>
                <w:rFonts w:ascii="Times New Roman" w:hAnsi="Times New Roman"/>
                <w:kern w:val="2"/>
                <w:sz w:val="21"/>
                <w:szCs w:val="21"/>
              </w:rPr>
              <w:t>10分</w:t>
            </w:r>
          </w:p>
        </w:tc>
        <w:tc>
          <w:tcPr>
            <w:tcW w:w="4677" w:type="dxa"/>
            <w:tcBorders>
              <w:left w:val="single" w:color="auto" w:sz="4" w:space="0"/>
            </w:tcBorders>
            <w:vAlign w:val="center"/>
          </w:tcPr>
          <w:p>
            <w:pPr>
              <w:pStyle w:val="3"/>
              <w:snapToGrid w:val="0"/>
              <w:spacing w:line="360" w:lineRule="exact"/>
              <w:rPr>
                <w:rFonts w:ascii="Times New Roman" w:hAnsi="Times New Roman"/>
                <w:sz w:val="21"/>
                <w:szCs w:val="21"/>
              </w:rPr>
            </w:pPr>
            <w:r>
              <w:rPr>
                <w:rFonts w:ascii="Times New Roman" w:hAnsi="Times New Roman"/>
                <w:sz w:val="21"/>
                <w:szCs w:val="21"/>
              </w:rPr>
              <w:t>审计工作进度安排合理、全面性强，得</w:t>
            </w:r>
            <w:r>
              <w:rPr>
                <w:rFonts w:ascii="Times New Roman" w:hAnsi="Times New Roman"/>
                <w:kern w:val="2"/>
                <w:sz w:val="21"/>
                <w:szCs w:val="21"/>
              </w:rPr>
              <w:t>8.</w:t>
            </w:r>
            <w:r>
              <w:rPr>
                <w:rFonts w:hint="eastAsia" w:ascii="Times New Roman" w:hAnsi="Times New Roman"/>
                <w:kern w:val="2"/>
                <w:sz w:val="21"/>
                <w:szCs w:val="21"/>
              </w:rPr>
              <w:t>0</w:t>
            </w:r>
            <w:r>
              <w:rPr>
                <w:rFonts w:ascii="Times New Roman" w:hAnsi="Times New Roman"/>
                <w:kern w:val="2"/>
                <w:sz w:val="21"/>
                <w:szCs w:val="21"/>
              </w:rPr>
              <w:t>（不含）-10</w:t>
            </w:r>
            <w:r>
              <w:rPr>
                <w:rFonts w:hint="eastAsia" w:ascii="Times New Roman" w:hAnsi="Times New Roman"/>
                <w:kern w:val="2"/>
                <w:sz w:val="21"/>
                <w:szCs w:val="21"/>
              </w:rPr>
              <w:t>.0（含）</w:t>
            </w:r>
            <w:r>
              <w:rPr>
                <w:rFonts w:ascii="Times New Roman" w:hAnsi="Times New Roman"/>
                <w:sz w:val="21"/>
                <w:szCs w:val="21"/>
              </w:rPr>
              <w:t>分；合理性、全面性</w:t>
            </w:r>
            <w:r>
              <w:rPr>
                <w:rFonts w:hint="eastAsia" w:ascii="Times New Roman" w:hAnsi="Times New Roman"/>
                <w:sz w:val="21"/>
                <w:szCs w:val="21"/>
              </w:rPr>
              <w:t>较</w:t>
            </w:r>
            <w:r>
              <w:rPr>
                <w:rFonts w:ascii="Times New Roman" w:hAnsi="Times New Roman"/>
                <w:sz w:val="21"/>
                <w:szCs w:val="21"/>
              </w:rPr>
              <w:t>强，得</w:t>
            </w:r>
            <w:r>
              <w:rPr>
                <w:rFonts w:hint="eastAsia" w:ascii="Times New Roman" w:hAnsi="Times New Roman"/>
                <w:kern w:val="2"/>
                <w:sz w:val="21"/>
                <w:szCs w:val="21"/>
              </w:rPr>
              <w:t>6.0</w:t>
            </w:r>
            <w:r>
              <w:rPr>
                <w:rFonts w:ascii="Times New Roman" w:hAnsi="Times New Roman"/>
                <w:kern w:val="2"/>
                <w:sz w:val="21"/>
                <w:szCs w:val="21"/>
              </w:rPr>
              <w:t>（不含）-8.0</w:t>
            </w:r>
            <w:r>
              <w:rPr>
                <w:rFonts w:hint="eastAsia" w:ascii="Times New Roman" w:hAnsi="Times New Roman"/>
                <w:kern w:val="2"/>
                <w:sz w:val="21"/>
                <w:szCs w:val="21"/>
              </w:rPr>
              <w:t>（含）</w:t>
            </w:r>
            <w:r>
              <w:rPr>
                <w:rFonts w:ascii="Times New Roman" w:hAnsi="Times New Roman"/>
                <w:sz w:val="21"/>
                <w:szCs w:val="21"/>
              </w:rPr>
              <w:t>分；</w:t>
            </w:r>
            <w:r>
              <w:rPr>
                <w:rFonts w:ascii="Times New Roman" w:hAnsi="Times New Roman"/>
                <w:kern w:val="2"/>
                <w:sz w:val="21"/>
                <w:szCs w:val="21"/>
              </w:rPr>
              <w:t>一般，得</w:t>
            </w:r>
            <w:r>
              <w:rPr>
                <w:rFonts w:hint="eastAsia" w:ascii="Times New Roman" w:hAnsi="Times New Roman"/>
                <w:kern w:val="2"/>
                <w:sz w:val="21"/>
                <w:szCs w:val="21"/>
              </w:rPr>
              <w:t>6.0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43" w:hRule="atLeast"/>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kern w:val="2"/>
                <w:sz w:val="21"/>
                <w:szCs w:val="21"/>
              </w:rPr>
              <w:t>工作质量控制</w:t>
            </w:r>
          </w:p>
        </w:tc>
        <w:tc>
          <w:tcPr>
            <w:tcW w:w="709" w:type="dxa"/>
            <w:tcBorders>
              <w:left w:val="single" w:color="auto" w:sz="4" w:space="0"/>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kern w:val="2"/>
                <w:sz w:val="21"/>
                <w:szCs w:val="21"/>
              </w:rPr>
              <w:t>1</w:t>
            </w:r>
            <w:r>
              <w:rPr>
                <w:rFonts w:hint="eastAsia" w:ascii="Times New Roman" w:hAnsi="Times New Roman"/>
                <w:kern w:val="2"/>
                <w:sz w:val="21"/>
                <w:szCs w:val="21"/>
              </w:rPr>
              <w:t>5</w:t>
            </w:r>
            <w:r>
              <w:rPr>
                <w:rFonts w:ascii="Times New Roman" w:hAnsi="Times New Roman"/>
                <w:kern w:val="2"/>
                <w:sz w:val="21"/>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sz w:val="21"/>
                <w:szCs w:val="21"/>
              </w:rPr>
            </w:pPr>
            <w:r>
              <w:rPr>
                <w:rFonts w:ascii="Times New Roman" w:hAnsi="Times New Roman"/>
                <w:sz w:val="21"/>
                <w:szCs w:val="21"/>
              </w:rPr>
              <w:t>审计工作质量控制和方法可行有效，程序合理明确，得</w:t>
            </w:r>
            <w:r>
              <w:rPr>
                <w:rFonts w:hint="eastAsia" w:ascii="Times New Roman" w:hAnsi="Times New Roman"/>
                <w:kern w:val="2"/>
                <w:sz w:val="21"/>
                <w:szCs w:val="21"/>
              </w:rPr>
              <w:t>12.0</w:t>
            </w:r>
            <w:r>
              <w:rPr>
                <w:rFonts w:ascii="Times New Roman" w:hAnsi="Times New Roman"/>
                <w:kern w:val="2"/>
                <w:sz w:val="21"/>
                <w:szCs w:val="21"/>
              </w:rPr>
              <w:t>（不含）-1</w:t>
            </w:r>
            <w:r>
              <w:rPr>
                <w:rFonts w:hint="eastAsia" w:ascii="Times New Roman" w:hAnsi="Times New Roman"/>
                <w:kern w:val="2"/>
                <w:sz w:val="21"/>
                <w:szCs w:val="21"/>
              </w:rPr>
              <w:t>5.0（含）</w:t>
            </w:r>
            <w:r>
              <w:rPr>
                <w:rFonts w:ascii="Times New Roman" w:hAnsi="Times New Roman"/>
                <w:sz w:val="21"/>
                <w:szCs w:val="21"/>
              </w:rPr>
              <w:t>分；较可行有效、程序较合理明确，得</w:t>
            </w:r>
            <w:r>
              <w:rPr>
                <w:rFonts w:hint="eastAsia" w:ascii="Times New Roman" w:hAnsi="Times New Roman"/>
                <w:kern w:val="2"/>
                <w:sz w:val="21"/>
                <w:szCs w:val="21"/>
              </w:rPr>
              <w:t>9.0</w:t>
            </w:r>
            <w:r>
              <w:rPr>
                <w:rFonts w:ascii="Times New Roman" w:hAnsi="Times New Roman"/>
                <w:kern w:val="2"/>
                <w:sz w:val="21"/>
                <w:szCs w:val="21"/>
              </w:rPr>
              <w:t>（不含）-</w:t>
            </w:r>
            <w:r>
              <w:rPr>
                <w:rFonts w:hint="eastAsia" w:ascii="Times New Roman" w:hAnsi="Times New Roman"/>
                <w:kern w:val="2"/>
                <w:sz w:val="21"/>
                <w:szCs w:val="21"/>
              </w:rPr>
              <w:t>12</w:t>
            </w:r>
            <w:r>
              <w:rPr>
                <w:rFonts w:ascii="Times New Roman" w:hAnsi="Times New Roman"/>
                <w:kern w:val="2"/>
                <w:sz w:val="21"/>
                <w:szCs w:val="21"/>
              </w:rPr>
              <w:t>.0</w:t>
            </w:r>
            <w:r>
              <w:rPr>
                <w:rFonts w:hint="eastAsia" w:ascii="Times New Roman" w:hAnsi="Times New Roman"/>
                <w:kern w:val="2"/>
                <w:sz w:val="21"/>
                <w:szCs w:val="21"/>
              </w:rPr>
              <w:t>（含）</w:t>
            </w:r>
            <w:r>
              <w:rPr>
                <w:rFonts w:ascii="Times New Roman" w:hAnsi="Times New Roman"/>
                <w:sz w:val="21"/>
                <w:szCs w:val="21"/>
              </w:rPr>
              <w:t>分；</w:t>
            </w:r>
            <w:r>
              <w:rPr>
                <w:rFonts w:ascii="Times New Roman" w:hAnsi="Times New Roman"/>
                <w:kern w:val="2"/>
                <w:sz w:val="21"/>
                <w:szCs w:val="21"/>
              </w:rPr>
              <w:t>一般，得</w:t>
            </w:r>
            <w:r>
              <w:rPr>
                <w:rFonts w:hint="eastAsia" w:ascii="Times New Roman" w:hAnsi="Times New Roman"/>
                <w:kern w:val="2"/>
                <w:sz w:val="21"/>
                <w:szCs w:val="21"/>
              </w:rPr>
              <w:t>9.0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2" w:hRule="atLeast"/>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kern w:val="2"/>
                <w:sz w:val="21"/>
                <w:szCs w:val="21"/>
              </w:rPr>
              <w:t>履职承诺</w:t>
            </w:r>
          </w:p>
        </w:tc>
        <w:tc>
          <w:tcPr>
            <w:tcW w:w="709" w:type="dxa"/>
            <w:tcBorders>
              <w:left w:val="single" w:color="auto" w:sz="4" w:space="0"/>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kern w:val="2"/>
                <w:sz w:val="21"/>
                <w:szCs w:val="21"/>
              </w:rPr>
              <w:t>5分</w:t>
            </w:r>
          </w:p>
        </w:tc>
        <w:tc>
          <w:tcPr>
            <w:tcW w:w="4677" w:type="dxa"/>
            <w:tcBorders>
              <w:left w:val="single" w:color="auto" w:sz="4" w:space="0"/>
            </w:tcBorders>
            <w:vAlign w:val="center"/>
          </w:tcPr>
          <w:p>
            <w:pPr>
              <w:pStyle w:val="3"/>
              <w:snapToGrid w:val="0"/>
              <w:spacing w:line="360" w:lineRule="exact"/>
              <w:rPr>
                <w:rFonts w:ascii="Times New Roman" w:hAnsi="Times New Roman"/>
                <w:kern w:val="2"/>
                <w:sz w:val="21"/>
                <w:szCs w:val="21"/>
              </w:rPr>
            </w:pPr>
            <w:r>
              <w:rPr>
                <w:rFonts w:ascii="Times New Roman" w:hAnsi="Times New Roman"/>
                <w:kern w:val="2"/>
                <w:sz w:val="21"/>
                <w:szCs w:val="21"/>
              </w:rPr>
              <w:t>承诺遵照国家有关的法律法规，认真履行工作职责，并对审计意见和咨询意见承担法律和经济责任；详细、全面、条理清晰，得</w:t>
            </w:r>
            <w:r>
              <w:rPr>
                <w:rFonts w:hint="eastAsia" w:ascii="Times New Roman" w:hAnsi="Times New Roman"/>
                <w:kern w:val="2"/>
                <w:sz w:val="21"/>
                <w:szCs w:val="21"/>
              </w:rPr>
              <w:t>4</w:t>
            </w:r>
            <w:r>
              <w:rPr>
                <w:rFonts w:ascii="Times New Roman" w:hAnsi="Times New Roman"/>
                <w:kern w:val="2"/>
                <w:sz w:val="21"/>
                <w:szCs w:val="21"/>
              </w:rPr>
              <w:t>.</w:t>
            </w:r>
            <w:r>
              <w:rPr>
                <w:rFonts w:hint="eastAsia" w:ascii="Times New Roman" w:hAnsi="Times New Roman"/>
                <w:kern w:val="2"/>
                <w:sz w:val="21"/>
                <w:szCs w:val="21"/>
              </w:rPr>
              <w:t>0</w:t>
            </w:r>
            <w:r>
              <w:rPr>
                <w:rFonts w:ascii="Times New Roman" w:hAnsi="Times New Roman"/>
                <w:kern w:val="2"/>
                <w:sz w:val="21"/>
                <w:szCs w:val="21"/>
              </w:rPr>
              <w:t>（不含）-5</w:t>
            </w:r>
            <w:r>
              <w:rPr>
                <w:rFonts w:hint="eastAsia" w:ascii="Times New Roman" w:hAnsi="Times New Roman"/>
                <w:kern w:val="2"/>
                <w:sz w:val="21"/>
                <w:szCs w:val="21"/>
              </w:rPr>
              <w:t>.0（含）</w:t>
            </w:r>
            <w:r>
              <w:rPr>
                <w:rFonts w:ascii="Times New Roman" w:hAnsi="Times New Roman"/>
                <w:kern w:val="2"/>
                <w:sz w:val="21"/>
                <w:szCs w:val="21"/>
              </w:rPr>
              <w:t>分；较详细、全面、条理较清晰，得3.0（不含）</w:t>
            </w:r>
            <w:r>
              <w:rPr>
                <w:rFonts w:hint="eastAsia" w:ascii="Times New Roman" w:hAnsi="Times New Roman"/>
                <w:kern w:val="2"/>
                <w:sz w:val="21"/>
                <w:szCs w:val="21"/>
              </w:rPr>
              <w:t>-4.0（含）</w:t>
            </w:r>
            <w:r>
              <w:rPr>
                <w:rFonts w:ascii="Times New Roman" w:hAnsi="Times New Roman"/>
                <w:kern w:val="2"/>
                <w:sz w:val="21"/>
                <w:szCs w:val="21"/>
              </w:rPr>
              <w:t>分</w:t>
            </w:r>
            <w:r>
              <w:rPr>
                <w:rFonts w:hint="eastAsia" w:ascii="Times New Roman" w:hAnsi="Times New Roman"/>
                <w:kern w:val="2"/>
                <w:sz w:val="21"/>
                <w:szCs w:val="21"/>
              </w:rPr>
              <w:t>，</w:t>
            </w:r>
            <w:r>
              <w:rPr>
                <w:rFonts w:ascii="Times New Roman" w:hAnsi="Times New Roman"/>
                <w:kern w:val="2"/>
                <w:sz w:val="21"/>
                <w:szCs w:val="21"/>
              </w:rPr>
              <w:t>一般</w:t>
            </w:r>
            <w:r>
              <w:rPr>
                <w:rFonts w:hint="eastAsia" w:ascii="Times New Roman" w:hAnsi="Times New Roman"/>
                <w:kern w:val="2"/>
                <w:sz w:val="21"/>
                <w:szCs w:val="21"/>
              </w:rPr>
              <w:t>，</w:t>
            </w:r>
            <w:r>
              <w:rPr>
                <w:rFonts w:ascii="Times New Roman" w:hAnsi="Times New Roman"/>
                <w:kern w:val="2"/>
                <w:sz w:val="21"/>
                <w:szCs w:val="21"/>
              </w:rPr>
              <w:t>得</w:t>
            </w:r>
            <w:r>
              <w:rPr>
                <w:rFonts w:hint="eastAsia" w:ascii="Times New Roman" w:hAnsi="Times New Roman"/>
                <w:kern w:val="2"/>
                <w:sz w:val="21"/>
                <w:szCs w:val="21"/>
              </w:rPr>
              <w:t xml:space="preserve">3.0分。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4" w:hRule="atLeast"/>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Cs w:val="21"/>
              </w:rPr>
              <w:t>项目组人员配备</w:t>
            </w:r>
          </w:p>
        </w:tc>
        <w:tc>
          <w:tcPr>
            <w:tcW w:w="709" w:type="dxa"/>
            <w:tcBorders>
              <w:left w:val="single" w:color="auto" w:sz="4" w:space="0"/>
              <w:right w:val="single" w:color="auto" w:sz="4" w:space="0"/>
            </w:tcBorders>
            <w:vAlign w:val="center"/>
          </w:tcPr>
          <w:p>
            <w:pPr>
              <w:pStyle w:val="3"/>
              <w:snapToGrid w:val="0"/>
              <w:jc w:val="center"/>
              <w:rPr>
                <w:rFonts w:ascii="Times New Roman" w:hAnsi="Times New Roman"/>
                <w:kern w:val="2"/>
                <w:sz w:val="21"/>
                <w:szCs w:val="21"/>
              </w:rPr>
            </w:pPr>
            <w:r>
              <w:rPr>
                <w:rFonts w:hint="eastAsia" w:ascii="Times New Roman" w:hAnsi="Times New Roman"/>
                <w:szCs w:val="21"/>
              </w:rPr>
              <w:t>15</w:t>
            </w:r>
            <w:r>
              <w:rPr>
                <w:rFonts w:ascii="Times New Roman" w:hAnsi="Times New Roman"/>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kern w:val="2"/>
                <w:sz w:val="21"/>
                <w:szCs w:val="21"/>
              </w:rPr>
            </w:pPr>
            <w:r>
              <w:rPr>
                <w:rFonts w:ascii="Times New Roman" w:hAnsi="Times New Roman"/>
                <w:kern w:val="2"/>
                <w:sz w:val="21"/>
                <w:szCs w:val="24"/>
              </w:rPr>
              <w:t>投标人满足“附录</w:t>
            </w:r>
            <w:r>
              <w:rPr>
                <w:rFonts w:hint="eastAsia" w:ascii="Times New Roman" w:hAnsi="Times New Roman"/>
                <w:kern w:val="2"/>
                <w:sz w:val="21"/>
                <w:szCs w:val="24"/>
              </w:rPr>
              <w:t>5</w:t>
            </w:r>
            <w:r>
              <w:rPr>
                <w:rFonts w:ascii="Times New Roman" w:hAnsi="Times New Roman"/>
                <w:kern w:val="2"/>
                <w:sz w:val="21"/>
                <w:szCs w:val="24"/>
              </w:rPr>
              <w:t xml:space="preserve"> 资格审查条件（</w:t>
            </w:r>
            <w:r>
              <w:rPr>
                <w:rFonts w:hint="eastAsia" w:ascii="Times New Roman" w:hAnsi="Times New Roman"/>
                <w:kern w:val="2"/>
                <w:sz w:val="21"/>
                <w:szCs w:val="24"/>
              </w:rPr>
              <w:t>其他人员最低要求</w:t>
            </w:r>
            <w:r>
              <w:rPr>
                <w:rFonts w:ascii="Times New Roman" w:hAnsi="Times New Roman"/>
                <w:kern w:val="2"/>
                <w:sz w:val="21"/>
                <w:szCs w:val="24"/>
              </w:rPr>
              <w:t>）”</w:t>
            </w:r>
            <w:r>
              <w:rPr>
                <w:rFonts w:hint="eastAsia" w:ascii="Times New Roman" w:hAnsi="Times New Roman"/>
                <w:kern w:val="2"/>
                <w:sz w:val="21"/>
                <w:szCs w:val="24"/>
              </w:rPr>
              <w:t>得9分。</w:t>
            </w:r>
            <w:r>
              <w:rPr>
                <w:rFonts w:hint="eastAsia" w:ascii="Times New Roman" w:hAnsi="Times New Roman"/>
                <w:kern w:val="2"/>
                <w:sz w:val="21"/>
                <w:szCs w:val="21"/>
              </w:rPr>
              <w:t>项目组人员中（</w:t>
            </w:r>
            <w:r>
              <w:rPr>
                <w:rFonts w:ascii="Times New Roman" w:hAnsi="Times New Roman"/>
                <w:kern w:val="2"/>
                <w:sz w:val="21"/>
                <w:szCs w:val="21"/>
              </w:rPr>
              <w:t>除注册会计师以外</w:t>
            </w:r>
            <w:r>
              <w:rPr>
                <w:rFonts w:hint="eastAsia" w:ascii="Times New Roman" w:hAnsi="Times New Roman"/>
                <w:kern w:val="2"/>
                <w:sz w:val="21"/>
                <w:szCs w:val="21"/>
              </w:rPr>
              <w:t>），每有1名高级职称（会计师或经济师或审计师）人员加2分，每有一名中级职称（会计师或经济师或审计师）人员加1分，最高加6分。高级职称人员和中级职称人员不叠加计算。</w:t>
            </w:r>
          </w:p>
          <w:p>
            <w:pPr>
              <w:pStyle w:val="3"/>
              <w:snapToGrid w:val="0"/>
              <w:spacing w:line="360" w:lineRule="exact"/>
              <w:rPr>
                <w:rFonts w:ascii="Times New Roman" w:hAnsi="Times New Roman"/>
                <w:kern w:val="2"/>
                <w:sz w:val="21"/>
                <w:szCs w:val="21"/>
                <w:highlight w:val="gree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1" w:hRule="exact"/>
        </w:trPr>
        <w:tc>
          <w:tcPr>
            <w:tcW w:w="977" w:type="dxa"/>
            <w:vAlign w:val="center"/>
          </w:tcPr>
          <w:p>
            <w:pPr>
              <w:autoSpaceDE w:val="0"/>
              <w:autoSpaceDN w:val="0"/>
              <w:snapToGrid w:val="0"/>
              <w:ind w:right="11"/>
              <w:jc w:val="center"/>
              <w:rPr>
                <w:rFonts w:ascii="Times New Roman" w:hAnsi="Times New Roman"/>
              </w:rPr>
            </w:pPr>
            <w:r>
              <w:rPr>
                <w:rFonts w:ascii="Times New Roman" w:hAnsi="Times New Roman"/>
              </w:rPr>
              <w:t>2.2.4(</w:t>
            </w:r>
            <w:r>
              <w:rPr>
                <w:rFonts w:hint="eastAsia" w:ascii="Times New Roman" w:hAnsi="Times New Roman"/>
              </w:rPr>
              <w:t>2</w:t>
            </w:r>
            <w:r>
              <w:rPr>
                <w:rFonts w:ascii="Times New Roman" w:hAnsi="Times New Roman"/>
              </w:rPr>
              <w:t>)</w:t>
            </w:r>
          </w:p>
        </w:tc>
        <w:tc>
          <w:tcPr>
            <w:tcW w:w="516" w:type="dxa"/>
            <w:vAlign w:val="center"/>
          </w:tcPr>
          <w:p>
            <w:pPr>
              <w:autoSpaceDE w:val="0"/>
              <w:autoSpaceDN w:val="0"/>
              <w:spacing w:line="360" w:lineRule="exact"/>
              <w:jc w:val="center"/>
              <w:rPr>
                <w:rFonts w:ascii="Times New Roman" w:hAnsi="Times New Roman"/>
                <w:kern w:val="0"/>
                <w:szCs w:val="21"/>
              </w:rPr>
            </w:pPr>
            <w:r>
              <w:rPr>
                <w:rFonts w:ascii="Times New Roman" w:hAnsi="Times New Roman"/>
                <w:kern w:val="0"/>
                <w:szCs w:val="21"/>
              </w:rPr>
              <w:t>评标价</w:t>
            </w:r>
          </w:p>
        </w:tc>
        <w:tc>
          <w:tcPr>
            <w:tcW w:w="837" w:type="dxa"/>
            <w:vAlign w:val="center"/>
          </w:tcPr>
          <w:p>
            <w:pPr>
              <w:autoSpaceDE w:val="0"/>
              <w:autoSpaceDN w:val="0"/>
              <w:spacing w:line="192" w:lineRule="exact"/>
              <w:ind w:left="2" w:right="2"/>
              <w:jc w:val="center"/>
              <w:rPr>
                <w:rFonts w:ascii="Times New Roman" w:hAnsi="Times New Roman"/>
                <w:kern w:val="0"/>
                <w:szCs w:val="21"/>
              </w:rPr>
            </w:pPr>
            <w:r>
              <w:rPr>
                <w:rFonts w:hint="eastAsia" w:ascii="Times New Roman" w:hAnsi="Times New Roman"/>
                <w:kern w:val="0"/>
                <w:szCs w:val="21"/>
              </w:rPr>
              <w:t>10</w:t>
            </w:r>
            <w:r>
              <w:rPr>
                <w:rFonts w:ascii="Times New Roman" w:hAnsi="Times New Roman"/>
                <w:kern w:val="0"/>
                <w:szCs w:val="21"/>
              </w:rPr>
              <w:t>分</w:t>
            </w:r>
          </w:p>
        </w:tc>
        <w:tc>
          <w:tcPr>
            <w:tcW w:w="6868" w:type="dxa"/>
            <w:gridSpan w:val="3"/>
            <w:vAlign w:val="center"/>
          </w:tcPr>
          <w:p>
            <w:pPr>
              <w:pStyle w:val="3"/>
              <w:spacing w:line="360" w:lineRule="exact"/>
              <w:rPr>
                <w:rFonts w:ascii="Times New Roman" w:hAnsi="Times New Roman"/>
                <w:kern w:val="2"/>
                <w:sz w:val="21"/>
                <w:szCs w:val="21"/>
              </w:rPr>
            </w:pPr>
            <w:r>
              <w:rPr>
                <w:rFonts w:ascii="Times New Roman" w:hAnsi="Times New Roman"/>
                <w:kern w:val="2"/>
                <w:sz w:val="21"/>
                <w:szCs w:val="21"/>
              </w:rPr>
              <w:t>评标价得分计算公式：</w:t>
            </w:r>
          </w:p>
          <w:p>
            <w:pPr>
              <w:pStyle w:val="3"/>
              <w:spacing w:line="360" w:lineRule="exact"/>
              <w:rPr>
                <w:rFonts w:ascii="Times New Roman" w:hAnsi="Times New Roman"/>
                <w:kern w:val="2"/>
                <w:sz w:val="21"/>
                <w:szCs w:val="21"/>
              </w:rPr>
            </w:pPr>
            <w:r>
              <w:rPr>
                <w:rFonts w:ascii="Times New Roman" w:hAnsi="Times New Roman"/>
                <w:kern w:val="2"/>
                <w:sz w:val="21"/>
                <w:szCs w:val="21"/>
              </w:rPr>
              <w:t>（1）如果投标人的评标价＞评标基准价，则评标价得分=F-偏差率×100×E1；</w:t>
            </w:r>
          </w:p>
          <w:p>
            <w:pPr>
              <w:pStyle w:val="3"/>
              <w:spacing w:line="360" w:lineRule="exact"/>
              <w:rPr>
                <w:rFonts w:ascii="Times New Roman" w:hAnsi="Times New Roman"/>
                <w:kern w:val="2"/>
                <w:sz w:val="21"/>
                <w:szCs w:val="21"/>
              </w:rPr>
            </w:pPr>
            <w:r>
              <w:rPr>
                <w:rFonts w:ascii="Times New Roman" w:hAnsi="Times New Roman"/>
                <w:kern w:val="2"/>
                <w:sz w:val="21"/>
                <w:szCs w:val="21"/>
              </w:rPr>
              <w:t>（2）如果投标人的评标价≤评标基准价，则评标价得分=F+偏差率×100×E2。</w:t>
            </w:r>
          </w:p>
          <w:p>
            <w:pPr>
              <w:pStyle w:val="3"/>
              <w:spacing w:line="360" w:lineRule="exact"/>
              <w:rPr>
                <w:rFonts w:ascii="Times New Roman" w:hAnsi="Times New Roman"/>
                <w:kern w:val="2"/>
                <w:sz w:val="21"/>
                <w:szCs w:val="21"/>
              </w:rPr>
            </w:pPr>
            <w:r>
              <w:rPr>
                <w:rFonts w:ascii="Times New Roman" w:hAnsi="Times New Roman"/>
                <w:kern w:val="2"/>
                <w:sz w:val="21"/>
                <w:szCs w:val="21"/>
              </w:rPr>
              <w:t>其中，F=</w:t>
            </w:r>
            <w:r>
              <w:rPr>
                <w:rFonts w:hint="eastAsia" w:ascii="Times New Roman" w:hAnsi="Times New Roman"/>
                <w:kern w:val="2"/>
                <w:sz w:val="21"/>
                <w:szCs w:val="21"/>
              </w:rPr>
              <w:t>1</w:t>
            </w:r>
            <w:r>
              <w:rPr>
                <w:rFonts w:ascii="Times New Roman" w:hAnsi="Times New Roman"/>
                <w:kern w:val="2"/>
                <w:sz w:val="21"/>
                <w:szCs w:val="21"/>
              </w:rPr>
              <w:t>0；E1=0.</w:t>
            </w:r>
            <w:r>
              <w:rPr>
                <w:rFonts w:hint="eastAsia" w:ascii="Times New Roman" w:hAnsi="Times New Roman"/>
                <w:kern w:val="2"/>
                <w:sz w:val="21"/>
                <w:szCs w:val="21"/>
              </w:rPr>
              <w:t>2</w:t>
            </w:r>
            <w:r>
              <w:rPr>
                <w:rFonts w:ascii="Times New Roman" w:hAnsi="Times New Roman"/>
                <w:kern w:val="2"/>
                <w:sz w:val="21"/>
                <w:szCs w:val="21"/>
              </w:rPr>
              <w:t>；E2=0.</w:t>
            </w:r>
            <w:r>
              <w:rPr>
                <w:rFonts w:hint="eastAsia" w:ascii="Times New Roman" w:hAnsi="Times New Roman"/>
                <w:kern w:val="2"/>
                <w:sz w:val="21"/>
                <w:szCs w:val="21"/>
              </w:rPr>
              <w:t>1</w:t>
            </w:r>
            <w:r>
              <w:rPr>
                <w:rFonts w:ascii="Times New Roman" w:hAnsi="Times New Roman"/>
                <w:kern w:val="2"/>
                <w:sz w:val="21"/>
                <w:szCs w:val="21"/>
              </w:rPr>
              <w:t>；评标价最低得分为0分。</w:t>
            </w:r>
          </w:p>
        </w:tc>
      </w:tr>
      <w:bookmarkEnd w:id="1"/>
      <w:bookmarkEnd w:id="2"/>
    </w:tbl>
    <w:p>
      <w:pPr>
        <w:spacing w:line="360" w:lineRule="exact"/>
        <w:rPr>
          <w:rFonts w:ascii="宋体" w:hAnsi="宋体"/>
          <w:kern w:val="0"/>
          <w:sz w:val="24"/>
          <w:szCs w:val="24"/>
        </w:rPr>
      </w:pPr>
      <w:r>
        <w:rPr>
          <w:rFonts w:hint="eastAsia" w:ascii="宋体" w:hAnsi="宋体"/>
          <w:kern w:val="0"/>
          <w:sz w:val="24"/>
          <w:szCs w:val="24"/>
        </w:rPr>
        <w:t>注：1、评审因素得分应以评标委员会各成员的打分平均值确定。</w:t>
      </w:r>
    </w:p>
    <w:p>
      <w:pPr>
        <w:spacing w:line="360" w:lineRule="exact"/>
        <w:ind w:firstLine="480" w:firstLineChars="200"/>
        <w:rPr>
          <w:rFonts w:ascii="宋体" w:hAnsi="宋体"/>
          <w:kern w:val="0"/>
          <w:sz w:val="24"/>
          <w:szCs w:val="24"/>
        </w:rPr>
      </w:pPr>
      <w:r>
        <w:rPr>
          <w:rFonts w:hint="eastAsia" w:ascii="宋体" w:hAnsi="宋体"/>
          <w:kern w:val="0"/>
          <w:sz w:val="24"/>
          <w:szCs w:val="24"/>
        </w:rPr>
        <w:t>2、以上各项如出现缺项、漏项时，该项按“ 0 ”分计。</w:t>
      </w:r>
    </w:p>
    <w:p>
      <w:pPr>
        <w:ind w:firstLine="480" w:firstLineChars="200"/>
      </w:pPr>
      <w:r>
        <w:rPr>
          <w:rFonts w:hint="eastAsia" w:ascii="宋体" w:hAnsi="宋体"/>
          <w:kern w:val="0"/>
          <w:sz w:val="24"/>
          <w:szCs w:val="24"/>
        </w:rPr>
        <w:t>3、打分时保留1位小数，计算得分时保留两位小数。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kYjJiZWE1ZjgxYjZiNjQyMjE2ZGNmNGI1MjdhZjEifQ=="/>
  </w:docVars>
  <w:rsids>
    <w:rsidRoot w:val="00C57B55"/>
    <w:rsid w:val="0012374D"/>
    <w:rsid w:val="00C57B55"/>
    <w:rsid w:val="09B9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kern w:val="0"/>
      <w:sz w:val="20"/>
      <w:szCs w:val="20"/>
    </w:rPr>
  </w:style>
  <w:style w:type="paragraph" w:styleId="4">
    <w:name w:val="footer"/>
    <w:basedOn w:val="1"/>
    <w:link w:val="11"/>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99"/>
    <w:rPr>
      <w:color w:val="0000FF"/>
      <w:u w:val="single"/>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标题 3 Char"/>
    <w:basedOn w:val="8"/>
    <w:link w:val="2"/>
    <w:qFormat/>
    <w:uiPriority w:val="9"/>
    <w:rPr>
      <w:rFonts w:ascii="Calibri" w:hAnsi="Calibri" w:eastAsia="宋体" w:cs="Times New Roman"/>
      <w:b/>
      <w:bCs/>
      <w:sz w:val="32"/>
      <w:szCs w:val="32"/>
    </w:rPr>
  </w:style>
  <w:style w:type="character" w:customStyle="1" w:styleId="13">
    <w:name w:val="纯文本 Char"/>
    <w:basedOn w:val="8"/>
    <w:link w:val="3"/>
    <w:semiHidden/>
    <w:uiPriority w:val="99"/>
    <w:rPr>
      <w:rFonts w:ascii="宋体" w:hAnsi="Courier New" w:eastAsia="宋体" w:cs="Courier New"/>
      <w:szCs w:val="21"/>
    </w:rPr>
  </w:style>
  <w:style w:type="character" w:customStyle="1" w:styleId="14">
    <w:name w:val="纯文本 Char1"/>
    <w:link w:val="3"/>
    <w:qFormat/>
    <w:uiPriority w:val="0"/>
    <w:rPr>
      <w:rFonts w:ascii="宋体" w:hAnsi="Courier New" w:eastAsia="宋体"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10</Pages>
  <Words>1041</Words>
  <Characters>5934</Characters>
  <Lines>49</Lines>
  <Paragraphs>13</Paragraphs>
  <TotalTime>1</TotalTime>
  <ScaleCrop>false</ScaleCrop>
  <LinksUpToDate>false</LinksUpToDate>
  <CharactersWithSpaces>6962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2023-08-24T09:32:00Z</dcterms:created>
  <dc:creator>China</dc:creator>
  <cp:lastModifiedBy>李</cp:lastModifiedBy>
  <dcterms:modified xsi:type="dcterms:W3CDTF">2023-08-25T01:02:38Z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B1F4D7EC33EA4049A1F7F364B3D0B5ED_12</vt:lpwstr>
  </property>
</Properties>
</file>