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left"/>
        <w:rPr>
          <w:snapToGrid w:val="0"/>
          <w:kern w:val="0"/>
          <w:sz w:val="28"/>
          <w:szCs w:val="28"/>
        </w:rPr>
      </w:pPr>
      <w:bookmarkStart w:id="0" w:name="_Toc111638814"/>
      <w:bookmarkStart w:id="1" w:name="_Toc111638754"/>
      <w:bookmarkStart w:id="2" w:name="_Toc513624013"/>
      <w:bookmarkStart w:id="3" w:name="_Toc134890441"/>
      <w:bookmarkStart w:id="4" w:name="_Toc136511006"/>
      <w:bookmarkStart w:id="5" w:name="_Hlk512198378"/>
      <w:bookmarkStart w:id="6" w:name="_Hlk63256711"/>
      <w:bookmarkStart w:id="7" w:name="_Hlk531337268"/>
      <w:r>
        <w:rPr>
          <w:snapToGrid w:val="0"/>
          <w:kern w:val="0"/>
          <w:sz w:val="28"/>
          <w:szCs w:val="28"/>
        </w:rPr>
        <w:t>附件1：资格审查</w:t>
      </w:r>
      <w:bookmarkEnd w:id="0"/>
      <w:bookmarkEnd w:id="1"/>
      <w:bookmarkEnd w:id="2"/>
      <w:r>
        <w:rPr>
          <w:snapToGrid w:val="0"/>
          <w:kern w:val="0"/>
          <w:sz w:val="28"/>
          <w:szCs w:val="28"/>
        </w:rPr>
        <w:t>条件</w:t>
      </w:r>
      <w:bookmarkEnd w:id="3"/>
      <w:bookmarkEnd w:id="4"/>
    </w:p>
    <w:bookmarkEnd w:id="5"/>
    <w:p>
      <w:pPr>
        <w:adjustRightInd w:val="0"/>
        <w:snapToGrid w:val="0"/>
        <w:spacing w:line="360" w:lineRule="auto"/>
        <w:jc w:val="center"/>
        <w:rPr>
          <w:b/>
          <w:snapToGrid w:val="0"/>
          <w:kern w:val="0"/>
          <w:sz w:val="24"/>
        </w:rPr>
      </w:pPr>
      <w:r>
        <w:rPr>
          <w:b/>
          <w:snapToGrid w:val="0"/>
          <w:kern w:val="0"/>
          <w:sz w:val="24"/>
        </w:rPr>
        <w:t>附录1  资格审查条件（资质最低要求）</w:t>
      </w:r>
    </w:p>
    <w:tbl>
      <w:tblPr>
        <w:tblStyle w:val="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b/>
                <w:snapToGrid w:val="0"/>
                <w:kern w:val="0"/>
                <w:szCs w:val="21"/>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1、具有独立企业法人资格，持有有效的企业营业执照。</w:t>
            </w:r>
          </w:p>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2、具备交通运输部颁发的公路工程监理甲级资质。</w:t>
            </w:r>
          </w:p>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3、具备交通运输部颁发的公路机电工程专项监理资质。</w:t>
            </w:r>
          </w:p>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4、具备住房和城乡建设主管部门批准的房屋建筑工程监理丙级及以上资质。</w:t>
            </w:r>
          </w:p>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5、以联合体形式投标的，联合体所有成员数量不得超过3家，且联合体牵头人应具备“公路工程甲级监理资质”。</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附录2  资格审查条件（业绩最低要求）</w:t>
      </w:r>
    </w:p>
    <w:tbl>
      <w:tblPr>
        <w:tblStyle w:val="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rFonts w:hint="eastAsia"/>
                <w:b/>
                <w:snapToGrid w:val="0"/>
                <w:kern w:val="0"/>
                <w:szCs w:val="21"/>
              </w:rPr>
              <w:t>业绩</w:t>
            </w:r>
            <w:r>
              <w:rPr>
                <w:rStyle w:val="9"/>
                <w:b/>
                <w:snapToGrid w:val="0"/>
                <w:kern w:val="0"/>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1、近5年内（2018年8月1日至今，以工程竣（交）工时间为准）至少完成过1项新建或改（扩）建高速公路工程施工监理业绩。</w:t>
            </w:r>
          </w:p>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2、近5年内（2018年8月1日至今，以工程竣（交）工时间为准）至少完成过1项房屋建筑工程施工监理业绩。</w:t>
            </w:r>
          </w:p>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3、近5年内（2018年8月1日至今，以工程竣（交）工时间为准）至少完成过1项新建或改（扩）建高速公路机电工程（含监控、收费、通讯系统）施工监理业绩。</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附录3  资格审查条件（信誉最低要求）</w:t>
      </w:r>
    </w:p>
    <w:tbl>
      <w:tblPr>
        <w:tblStyle w:val="6"/>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rFonts w:hint="eastAsia"/>
                <w:b/>
                <w:snapToGrid w:val="0"/>
                <w:kern w:val="0"/>
                <w:szCs w:val="21"/>
              </w:rPr>
              <w:t>信誉</w:t>
            </w:r>
            <w:r>
              <w:rPr>
                <w:rStyle w:val="9"/>
                <w:b/>
                <w:snapToGrid w:val="0"/>
                <w:kern w:val="0"/>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adjustRightInd w:val="0"/>
              <w:snapToGrid w:val="0"/>
              <w:spacing w:line="0" w:lineRule="atLeast"/>
              <w:jc w:val="left"/>
              <w:rPr>
                <w:rStyle w:val="9"/>
                <w:rFonts w:ascii="Times New Roman" w:hAnsi="Times New Roman"/>
                <w:b/>
                <w:snapToGrid w:val="0"/>
                <w:color w:val="auto"/>
              </w:rPr>
            </w:pPr>
            <w:r>
              <w:rPr>
                <w:rStyle w:val="9"/>
                <w:rFonts w:hint="eastAsia" w:ascii="Times New Roman" w:hAnsi="Times New Roman"/>
                <w:b/>
                <w:snapToGrid w:val="0"/>
                <w:color w:val="auto"/>
              </w:rPr>
              <w:t>投标人在近1年内（202</w:t>
            </w:r>
            <w:r>
              <w:rPr>
                <w:rStyle w:val="9"/>
                <w:rFonts w:ascii="Times New Roman" w:hAnsi="Times New Roman"/>
                <w:b/>
                <w:snapToGrid w:val="0"/>
                <w:color w:val="auto"/>
              </w:rPr>
              <w:t>2</w:t>
            </w:r>
            <w:r>
              <w:rPr>
                <w:rStyle w:val="9"/>
                <w:rFonts w:hint="eastAsia" w:ascii="Times New Roman" w:hAnsi="Times New Roman"/>
                <w:b/>
                <w:snapToGrid w:val="0"/>
                <w:color w:val="auto"/>
              </w:rPr>
              <w:t>年8月1日至今）不曾在公路工程监理合同中违约而被驱逐或因投标人自身的原因而使公路工程监理合同被解除。</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附录4  资格审查条件（</w:t>
      </w:r>
      <w:r>
        <w:rPr>
          <w:rFonts w:hint="eastAsia"/>
          <w:b/>
          <w:snapToGrid w:val="0"/>
          <w:kern w:val="0"/>
          <w:sz w:val="24"/>
        </w:rPr>
        <w:t>总监理工程师</w:t>
      </w:r>
      <w:r>
        <w:rPr>
          <w:b/>
          <w:snapToGrid w:val="0"/>
          <w:kern w:val="0"/>
          <w:sz w:val="24"/>
        </w:rPr>
        <w:t>最低要求）</w:t>
      </w:r>
    </w:p>
    <w:tbl>
      <w:tblPr>
        <w:tblStyle w:val="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28"/>
        <w:gridCol w:w="1204"/>
        <w:gridCol w:w="3198"/>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1013"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b/>
                <w:snapToGrid w:val="0"/>
                <w:kern w:val="0"/>
                <w:szCs w:val="21"/>
              </w:rPr>
              <w:t>人员</w:t>
            </w:r>
          </w:p>
        </w:tc>
        <w:tc>
          <w:tcPr>
            <w:tcW w:w="706"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b/>
                <w:snapToGrid w:val="0"/>
                <w:kern w:val="0"/>
                <w:szCs w:val="21"/>
              </w:rPr>
              <w:t>数量</w:t>
            </w:r>
          </w:p>
        </w:tc>
        <w:tc>
          <w:tcPr>
            <w:tcW w:w="1875"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b/>
                <w:snapToGrid w:val="0"/>
                <w:kern w:val="0"/>
                <w:szCs w:val="21"/>
              </w:rPr>
              <w:t>资格要求</w:t>
            </w:r>
          </w:p>
        </w:tc>
        <w:tc>
          <w:tcPr>
            <w:tcW w:w="1406"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b/>
                <w:snapToGrid w:val="0"/>
                <w:kern w:val="0"/>
                <w:szCs w:val="21"/>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23" w:hRule="atLeast"/>
        </w:trPr>
        <w:tc>
          <w:tcPr>
            <w:tcW w:w="1013" w:type="pct"/>
            <w:tcBorders>
              <w:top w:val="single" w:color="000000" w:sz="2" w:space="0"/>
              <w:left w:val="single" w:color="auto" w:sz="4"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rFonts w:hint="eastAsia"/>
                <w:b/>
                <w:snapToGrid w:val="0"/>
                <w:kern w:val="0"/>
                <w:szCs w:val="21"/>
              </w:rPr>
              <w:t>总监理工程师</w:t>
            </w:r>
          </w:p>
        </w:tc>
        <w:tc>
          <w:tcPr>
            <w:tcW w:w="706" w:type="pct"/>
            <w:tcBorders>
              <w:top w:val="single" w:color="000000" w:sz="2" w:space="0"/>
              <w:left w:val="single" w:color="auto" w:sz="4" w:space="0"/>
              <w:right w:val="single" w:color="000000" w:sz="2" w:space="0"/>
            </w:tcBorders>
            <w:vAlign w:val="center"/>
          </w:tcPr>
          <w:p>
            <w:pPr>
              <w:adjustRightInd w:val="0"/>
              <w:snapToGrid w:val="0"/>
              <w:spacing w:line="0" w:lineRule="atLeast"/>
              <w:jc w:val="center"/>
              <w:textAlignment w:val="baseline"/>
              <w:rPr>
                <w:rStyle w:val="9"/>
                <w:b/>
                <w:snapToGrid w:val="0"/>
                <w:kern w:val="0"/>
                <w:szCs w:val="21"/>
              </w:rPr>
            </w:pPr>
            <w:r>
              <w:rPr>
                <w:rStyle w:val="9"/>
                <w:b/>
                <w:snapToGrid w:val="0"/>
                <w:kern w:val="0"/>
                <w:szCs w:val="21"/>
              </w:rPr>
              <w:t>1</w:t>
            </w:r>
          </w:p>
        </w:tc>
        <w:tc>
          <w:tcPr>
            <w:tcW w:w="1875" w:type="pct"/>
            <w:tcBorders>
              <w:top w:val="single" w:color="000000" w:sz="2" w:space="0"/>
              <w:left w:val="single" w:color="auto" w:sz="4" w:space="0"/>
              <w:right w:val="single" w:color="000000" w:sz="2" w:space="0"/>
            </w:tcBorders>
            <w:vAlign w:val="center"/>
          </w:tcPr>
          <w:p>
            <w:pPr>
              <w:adjustRightInd w:val="0"/>
              <w:snapToGrid w:val="0"/>
              <w:spacing w:line="0" w:lineRule="atLeast"/>
              <w:textAlignment w:val="baseline"/>
              <w:rPr>
                <w:rStyle w:val="9"/>
                <w:b/>
                <w:snapToGrid w:val="0"/>
                <w:kern w:val="0"/>
                <w:szCs w:val="21"/>
              </w:rPr>
            </w:pPr>
            <w:bookmarkStart w:id="8" w:name="_Hlk141978129"/>
            <w:r>
              <w:rPr>
                <w:rStyle w:val="9"/>
                <w:rFonts w:hint="eastAsia"/>
                <w:b/>
                <w:snapToGrid w:val="0"/>
                <w:kern w:val="0"/>
                <w:szCs w:val="21"/>
              </w:rPr>
              <w:t>高级工程师及以上职称</w:t>
            </w:r>
            <w:bookmarkEnd w:id="8"/>
            <w:r>
              <w:rPr>
                <w:rStyle w:val="9"/>
                <w:rFonts w:hint="eastAsia"/>
                <w:b/>
                <w:snapToGrid w:val="0"/>
                <w:kern w:val="0"/>
                <w:szCs w:val="21"/>
              </w:rPr>
              <w:t>，具有注册监理工程师注册证书（公路工程）或交通运输部颁发的监理工程师资格证书（道路与桥梁专业），并进行了从业登记（登记单位与投标人单位一致）；近5年内（2018年8月1日至今，以工程竣（交）工时间为准）至少担任过1项新建或改（扩）建高速公路工程的总监理工程师或驻地监理工程师。</w:t>
            </w:r>
          </w:p>
        </w:tc>
        <w:tc>
          <w:tcPr>
            <w:tcW w:w="1406" w:type="pct"/>
            <w:tcBorders>
              <w:top w:val="single" w:color="000000" w:sz="2" w:space="0"/>
              <w:left w:val="single" w:color="auto" w:sz="4" w:space="0"/>
              <w:right w:val="single" w:color="000000" w:sz="2" w:space="0"/>
            </w:tcBorders>
            <w:vAlign w:val="center"/>
          </w:tcPr>
          <w:p>
            <w:pPr>
              <w:adjustRightInd w:val="0"/>
              <w:snapToGrid w:val="0"/>
              <w:spacing w:line="0" w:lineRule="atLeast"/>
              <w:textAlignment w:val="baseline"/>
              <w:rPr>
                <w:rStyle w:val="9"/>
                <w:b/>
                <w:snapToGrid w:val="0"/>
                <w:kern w:val="0"/>
                <w:szCs w:val="21"/>
              </w:rPr>
            </w:pPr>
            <w:r>
              <w:rPr>
                <w:rStyle w:val="9"/>
                <w:rFonts w:hint="eastAsia"/>
                <w:b/>
                <w:snapToGrid w:val="0"/>
                <w:kern w:val="0"/>
                <w:szCs w:val="21"/>
              </w:rPr>
              <w:t>目前未在其他项目上任职，或虽在其他项目上任职但本项目中标后能够从其他项目撤离，并能在本项目履约。</w:t>
            </w:r>
          </w:p>
        </w:tc>
      </w:tr>
      <w:bookmarkEnd w:id="6"/>
      <w:bookmarkEnd w:id="7"/>
    </w:tbl>
    <w:p>
      <w:pPr>
        <w:pStyle w:val="4"/>
        <w:spacing w:before="0" w:after="0" w:line="360" w:lineRule="auto"/>
        <w:rPr>
          <w:rFonts w:ascii="黑体" w:hAnsi="黑体" w:eastAsia="黑体"/>
          <w:snapToGrid w:val="0"/>
          <w:kern w:val="0"/>
          <w:sz w:val="28"/>
          <w:szCs w:val="28"/>
        </w:rPr>
      </w:pPr>
      <w:bookmarkStart w:id="9" w:name="_Toc134792890"/>
      <w:bookmarkStart w:id="10" w:name="_Toc134792339"/>
      <w:bookmarkStart w:id="11" w:name="_Toc134890442"/>
      <w:bookmarkStart w:id="12" w:name="_Toc111638756"/>
      <w:bookmarkStart w:id="13" w:name="_Toc111638816"/>
      <w:r>
        <w:rPr>
          <w:rFonts w:ascii="黑体" w:hAnsi="黑体" w:eastAsia="黑体"/>
          <w:snapToGrid w:val="0"/>
          <w:kern w:val="0"/>
          <w:sz w:val="28"/>
          <w:szCs w:val="28"/>
        </w:rPr>
        <w:br w:type="page"/>
      </w:r>
      <w:bookmarkEnd w:id="9"/>
      <w:bookmarkEnd w:id="10"/>
      <w:bookmarkEnd w:id="11"/>
      <w:bookmarkStart w:id="14" w:name="_Toc134792891"/>
      <w:bookmarkStart w:id="15" w:name="_Toc134792340"/>
      <w:bookmarkStart w:id="16" w:name="_Toc134890443"/>
    </w:p>
    <w:p>
      <w:pPr>
        <w:pStyle w:val="4"/>
        <w:adjustRightInd w:val="0"/>
        <w:snapToGrid w:val="0"/>
        <w:spacing w:before="0" w:after="0" w:line="360" w:lineRule="auto"/>
        <w:jc w:val="left"/>
        <w:rPr>
          <w:snapToGrid w:val="0"/>
          <w:kern w:val="0"/>
          <w:sz w:val="28"/>
          <w:szCs w:val="28"/>
        </w:rPr>
      </w:pPr>
      <w:bookmarkStart w:id="17" w:name="_Toc136511008"/>
      <w:r>
        <w:rPr>
          <w:rFonts w:hint="eastAsia"/>
          <w:snapToGrid w:val="0"/>
          <w:kern w:val="0"/>
          <w:sz w:val="28"/>
          <w:szCs w:val="28"/>
        </w:rPr>
        <w:t>附件</w:t>
      </w:r>
      <w:r>
        <w:rPr>
          <w:snapToGrid w:val="0"/>
          <w:kern w:val="0"/>
          <w:sz w:val="28"/>
          <w:szCs w:val="28"/>
        </w:rPr>
        <w:t>2</w:t>
      </w:r>
      <w:r>
        <w:rPr>
          <w:rFonts w:hint="eastAsia"/>
          <w:snapToGrid w:val="0"/>
          <w:kern w:val="0"/>
          <w:sz w:val="28"/>
          <w:szCs w:val="28"/>
        </w:rPr>
        <w:t>：评标办法</w:t>
      </w:r>
      <w:bookmarkEnd w:id="14"/>
      <w:bookmarkEnd w:id="15"/>
      <w:bookmarkEnd w:id="16"/>
      <w:bookmarkEnd w:id="17"/>
    </w:p>
    <w:p>
      <w:pPr>
        <w:adjustRightInd w:val="0"/>
        <w:snapToGrid w:val="0"/>
        <w:spacing w:line="360" w:lineRule="auto"/>
        <w:jc w:val="left"/>
        <w:rPr>
          <w:b/>
          <w:bCs/>
          <w:snapToGrid w:val="0"/>
          <w:kern w:val="0"/>
          <w:sz w:val="28"/>
          <w:szCs w:val="28"/>
        </w:rPr>
      </w:pPr>
    </w:p>
    <w:p>
      <w:pPr>
        <w:adjustRightInd w:val="0"/>
        <w:snapToGrid w:val="0"/>
        <w:spacing w:line="360" w:lineRule="auto"/>
        <w:jc w:val="center"/>
        <w:textAlignment w:val="baseline"/>
        <w:rPr>
          <w:rFonts w:ascii="宋体" w:hAnsi="宋体"/>
          <w:b/>
          <w:bCs/>
          <w:snapToGrid w:val="0"/>
          <w:kern w:val="0"/>
          <w:sz w:val="24"/>
        </w:rPr>
      </w:pPr>
      <w:bookmarkStart w:id="18" w:name="_Toc502992691"/>
      <w:bookmarkStart w:id="19" w:name="_Toc450319202"/>
      <w:bookmarkStart w:id="20" w:name="_Toc459307890"/>
      <w:bookmarkStart w:id="21" w:name="_Toc134890444"/>
      <w:bookmarkStart w:id="22" w:name="_Toc134792341"/>
      <w:bookmarkStart w:id="23" w:name="_Toc134792892"/>
      <w:bookmarkStart w:id="24" w:name="_Toc509660966"/>
      <w:bookmarkStart w:id="25" w:name="_Toc531949857"/>
      <w:bookmarkStart w:id="26" w:name="_Toc509659998"/>
      <w:bookmarkStart w:id="27" w:name="_Toc134792409"/>
      <w:bookmarkStart w:id="28" w:name="_Toc134890522"/>
      <w:bookmarkStart w:id="29" w:name="_Toc444271617"/>
      <w:bookmarkStart w:id="30" w:name="_Toc445382083"/>
      <w:bookmarkStart w:id="31" w:name="_Toc444088432"/>
      <w:bookmarkStart w:id="32" w:name="_Toc445222503"/>
      <w:r>
        <w:rPr>
          <w:rFonts w:hint="eastAsia" w:ascii="宋体" w:hAnsi="宋体"/>
          <w:b/>
          <w:bCs/>
          <w:snapToGrid w:val="0"/>
          <w:kern w:val="0"/>
          <w:sz w:val="24"/>
        </w:rPr>
        <w:t>评标办法（综合评估法）</w:t>
      </w:r>
      <w:bookmarkEnd w:id="18"/>
      <w:bookmarkEnd w:id="19"/>
      <w:bookmarkEnd w:id="20"/>
      <w:bookmarkEnd w:id="21"/>
      <w:bookmarkEnd w:id="22"/>
      <w:bookmarkEnd w:id="23"/>
      <w:bookmarkEnd w:id="24"/>
      <w:bookmarkEnd w:id="25"/>
      <w:bookmarkEnd w:id="26"/>
      <w:bookmarkEnd w:id="27"/>
      <w:bookmarkEnd w:id="28"/>
    </w:p>
    <w:p>
      <w:pPr>
        <w:adjustRightInd w:val="0"/>
        <w:snapToGrid w:val="0"/>
        <w:spacing w:line="360" w:lineRule="auto"/>
        <w:jc w:val="center"/>
        <w:textAlignment w:val="baseline"/>
        <w:rPr>
          <w:rFonts w:ascii="宋体" w:hAnsi="宋体"/>
          <w:b/>
          <w:bCs/>
          <w:snapToGrid w:val="0"/>
          <w:kern w:val="0"/>
          <w:sz w:val="24"/>
        </w:rPr>
      </w:pPr>
      <w:bookmarkStart w:id="33" w:name="_Toc134792410"/>
      <w:bookmarkStart w:id="34" w:name="_Toc134792342"/>
      <w:bookmarkStart w:id="35" w:name="_Toc531949858"/>
      <w:bookmarkStart w:id="36" w:name="_Toc134792893"/>
      <w:bookmarkStart w:id="37" w:name="_Toc134890523"/>
      <w:bookmarkStart w:id="38" w:name="_Toc134890445"/>
      <w:r>
        <w:rPr>
          <w:rFonts w:hint="eastAsia" w:ascii="宋体" w:hAnsi="宋体"/>
          <w:b/>
          <w:bCs/>
          <w:snapToGrid w:val="0"/>
          <w:kern w:val="0"/>
          <w:sz w:val="24"/>
        </w:rPr>
        <w:t>评标办法前附表</w:t>
      </w:r>
      <w:bookmarkEnd w:id="12"/>
      <w:bookmarkEnd w:id="13"/>
      <w:bookmarkEnd w:id="29"/>
      <w:bookmarkEnd w:id="30"/>
      <w:bookmarkEnd w:id="31"/>
      <w:bookmarkEnd w:id="32"/>
      <w:bookmarkEnd w:id="33"/>
      <w:bookmarkEnd w:id="34"/>
      <w:bookmarkEnd w:id="35"/>
      <w:bookmarkEnd w:id="36"/>
      <w:bookmarkEnd w:id="37"/>
      <w:bookmarkEnd w:id="38"/>
    </w:p>
    <w:tbl>
      <w:tblPr>
        <w:tblStyle w:val="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adjustRightInd w:val="0"/>
              <w:snapToGrid w:val="0"/>
              <w:spacing w:line="0" w:lineRule="atLeast"/>
              <w:rPr>
                <w:snapToGrid w:val="0"/>
                <w:kern w:val="0"/>
                <w:szCs w:val="21"/>
              </w:rPr>
            </w:pPr>
            <w:r>
              <w:rPr>
                <w:snapToGrid w:val="0"/>
                <w:kern w:val="0"/>
                <w:szCs w:val="21"/>
              </w:rPr>
              <w:t>（1）评标价低的投标人优先；</w:t>
            </w:r>
          </w:p>
          <w:p>
            <w:pPr>
              <w:adjustRightInd w:val="0"/>
              <w:snapToGrid w:val="0"/>
              <w:spacing w:line="0" w:lineRule="atLeast"/>
              <w:rPr>
                <w:snapToGrid w:val="0"/>
                <w:kern w:val="0"/>
                <w:szCs w:val="21"/>
              </w:rPr>
            </w:pPr>
            <w:r>
              <w:rPr>
                <w:snapToGrid w:val="0"/>
                <w:kern w:val="0"/>
                <w:szCs w:val="21"/>
              </w:rPr>
              <w:t>（2）技术建议书评分高的优先；</w:t>
            </w:r>
          </w:p>
          <w:p>
            <w:pPr>
              <w:adjustRightInd w:val="0"/>
              <w:snapToGrid w:val="0"/>
              <w:spacing w:line="0" w:lineRule="atLeast"/>
              <w:rPr>
                <w:snapToGrid w:val="0"/>
                <w:kern w:val="0"/>
                <w:szCs w:val="21"/>
              </w:rPr>
            </w:pPr>
            <w:r>
              <w:rPr>
                <w:snapToGrid w:val="0"/>
                <w:kern w:val="0"/>
                <w:szCs w:val="21"/>
              </w:rPr>
              <w:t>（3）</w:t>
            </w:r>
            <w:r>
              <w:rPr>
                <w:rFonts w:hint="eastAsia"/>
                <w:snapToGrid w:val="0"/>
                <w:kern w:val="0"/>
                <w:szCs w:val="21"/>
              </w:rPr>
              <w:t>满足资格审查条件（业绩最低要求）要求的业绩累计合同金额高的优先。</w:t>
            </w:r>
          </w:p>
          <w:p>
            <w:pPr>
              <w:adjustRightInd w:val="0"/>
              <w:snapToGrid w:val="0"/>
              <w:spacing w:line="0" w:lineRule="atLeast"/>
            </w:pPr>
            <w:r>
              <w:rPr>
                <w:rFonts w:hint="eastAsia"/>
                <w:snapToGrid w:val="0"/>
                <w:kern w:val="0"/>
                <w:szCs w:val="21"/>
              </w:rPr>
              <w:t>注：已被确定为本项目设计施工总承包的中标人，及与上述单位的单位负责人为同一人或存在控、管理关系的不同单位，不得被推荐为本项目施工监理的中标候选人。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2.1.1</w:t>
            </w:r>
          </w:p>
          <w:p>
            <w:pPr>
              <w:adjustRightInd w:val="0"/>
              <w:snapToGrid w:val="0"/>
              <w:spacing w:line="0" w:lineRule="atLeast"/>
              <w:jc w:val="center"/>
              <w:textAlignment w:val="baseline"/>
              <w:rPr>
                <w:snapToGrid w:val="0"/>
                <w:kern w:val="0"/>
                <w:szCs w:val="21"/>
              </w:rPr>
            </w:pPr>
            <w:r>
              <w:rPr>
                <w:snapToGrid w:val="0"/>
                <w:kern w:val="0"/>
                <w:szCs w:val="21"/>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b/>
                <w:bCs/>
                <w:snapToGrid w:val="0"/>
                <w:kern w:val="0"/>
                <w:szCs w:val="21"/>
              </w:rPr>
            </w:pPr>
            <w:r>
              <w:rPr>
                <w:b/>
                <w:bCs/>
                <w:snapToGrid w:val="0"/>
                <w:kern w:val="0"/>
                <w:szCs w:val="21"/>
              </w:rPr>
              <w:t>第一个信封（商务和技术文件）评审标准：</w:t>
            </w:r>
          </w:p>
          <w:p>
            <w:pPr>
              <w:adjustRightInd w:val="0"/>
              <w:snapToGrid w:val="0"/>
              <w:spacing w:line="0" w:lineRule="atLeast"/>
              <w:textAlignment w:val="baseline"/>
              <w:rPr>
                <w:snapToGrid w:val="0"/>
                <w:kern w:val="0"/>
                <w:szCs w:val="21"/>
              </w:rPr>
            </w:pPr>
            <w:r>
              <w:rPr>
                <w:snapToGrid w:val="0"/>
                <w:kern w:val="0"/>
                <w:szCs w:val="21"/>
              </w:rPr>
              <w:t>（1）投标文件按照招标文件规定的格式、内容填写，字迹清晰可辨。</w:t>
            </w:r>
          </w:p>
          <w:p>
            <w:pPr>
              <w:adjustRightInd w:val="0"/>
              <w:snapToGrid w:val="0"/>
              <w:spacing w:line="0" w:lineRule="atLeast"/>
              <w:textAlignment w:val="baseline"/>
              <w:rPr>
                <w:snapToGrid w:val="0"/>
                <w:kern w:val="0"/>
                <w:szCs w:val="21"/>
              </w:rPr>
            </w:pPr>
            <w:r>
              <w:rPr>
                <w:snapToGrid w:val="0"/>
                <w:kern w:val="0"/>
                <w:szCs w:val="21"/>
              </w:rPr>
              <w:t>a</w:t>
            </w:r>
            <w:r>
              <w:rPr>
                <w:rFonts w:hint="eastAsia"/>
                <w:snapToGrid w:val="0"/>
                <w:kern w:val="0"/>
                <w:szCs w:val="21"/>
              </w:rPr>
              <w:t>.</w:t>
            </w:r>
            <w:r>
              <w:rPr>
                <w:snapToGrid w:val="0"/>
                <w:kern w:val="0"/>
                <w:szCs w:val="21"/>
              </w:rPr>
              <w:t xml:space="preserve"> </w:t>
            </w:r>
            <w:r>
              <w:rPr>
                <w:rFonts w:hint="eastAsia"/>
                <w:snapToGrid w:val="0"/>
                <w:kern w:val="0"/>
                <w:szCs w:val="21"/>
              </w:rPr>
              <w:t>投标</w:t>
            </w:r>
            <w:r>
              <w:rPr>
                <w:snapToGrid w:val="0"/>
                <w:kern w:val="0"/>
                <w:szCs w:val="21"/>
              </w:rPr>
              <w:t>函按招标文件规定填报了项目名称、补遗书编号（如有）、质量要求、安全目标、监理服务期限、</w:t>
            </w:r>
            <w:r>
              <w:rPr>
                <w:rFonts w:hint="eastAsia"/>
                <w:snapToGrid w:val="0"/>
                <w:kern w:val="0"/>
                <w:szCs w:val="21"/>
              </w:rPr>
              <w:t>总监理工程师</w:t>
            </w:r>
            <w:r>
              <w:rPr>
                <w:snapToGrid w:val="0"/>
                <w:kern w:val="0"/>
                <w:szCs w:val="21"/>
              </w:rPr>
              <w:t>相关信息；</w:t>
            </w:r>
          </w:p>
          <w:p>
            <w:pPr>
              <w:adjustRightInd w:val="0"/>
              <w:snapToGrid w:val="0"/>
              <w:spacing w:line="0" w:lineRule="atLeast"/>
              <w:textAlignment w:val="baseline"/>
              <w:rPr>
                <w:snapToGrid w:val="0"/>
                <w:kern w:val="0"/>
                <w:szCs w:val="21"/>
              </w:rPr>
            </w:pPr>
            <w:r>
              <w:rPr>
                <w:snapToGrid w:val="0"/>
                <w:kern w:val="0"/>
                <w:szCs w:val="21"/>
              </w:rPr>
              <w:t>b</w:t>
            </w:r>
            <w:r>
              <w:rPr>
                <w:rFonts w:hint="eastAsia"/>
                <w:snapToGrid w:val="0"/>
                <w:kern w:val="0"/>
                <w:szCs w:val="21"/>
              </w:rPr>
              <w:t>.</w:t>
            </w:r>
            <w:r>
              <w:rPr>
                <w:snapToGrid w:val="0"/>
                <w:kern w:val="0"/>
                <w:szCs w:val="21"/>
              </w:rPr>
              <w:t xml:space="preserve"> 文件组成齐全完整，内容均按规定填写。</w:t>
            </w:r>
          </w:p>
          <w:p>
            <w:pPr>
              <w:adjustRightInd w:val="0"/>
              <w:snapToGrid w:val="0"/>
              <w:spacing w:line="0" w:lineRule="atLeast"/>
              <w:textAlignment w:val="baseline"/>
              <w:rPr>
                <w:snapToGrid w:val="0"/>
                <w:kern w:val="0"/>
                <w:szCs w:val="21"/>
              </w:rPr>
            </w:pPr>
            <w:r>
              <w:rPr>
                <w:snapToGrid w:val="0"/>
                <w:kern w:val="0"/>
                <w:szCs w:val="21"/>
              </w:rPr>
              <w:t>（2）投标文件上法定代表人或其授权代理人的签字、投标人的单位章盖章齐全，符合招标文件规定。</w:t>
            </w:r>
          </w:p>
          <w:p>
            <w:pPr>
              <w:adjustRightInd w:val="0"/>
              <w:snapToGrid w:val="0"/>
              <w:spacing w:line="0" w:lineRule="atLeast"/>
              <w:textAlignment w:val="baseline"/>
              <w:rPr>
                <w:snapToGrid w:val="0"/>
                <w:kern w:val="0"/>
                <w:szCs w:val="21"/>
              </w:rPr>
            </w:pPr>
            <w:r>
              <w:rPr>
                <w:snapToGrid w:val="0"/>
                <w:kern w:val="0"/>
                <w:szCs w:val="21"/>
              </w:rPr>
              <w:t>（3）投标人按照招标文件的规定提供了投标保证金</w:t>
            </w:r>
            <w:r>
              <w:rPr>
                <w:rFonts w:hint="eastAsia"/>
                <w:kern w:val="0"/>
                <w:szCs w:val="21"/>
              </w:rPr>
              <w:t>，并符合投标人须知前附表</w:t>
            </w:r>
            <w:r>
              <w:rPr>
                <w:szCs w:val="21"/>
              </w:rPr>
              <w:t>3.4.1</w:t>
            </w:r>
            <w:r>
              <w:rPr>
                <w:rFonts w:hint="eastAsia"/>
                <w:szCs w:val="21"/>
              </w:rPr>
              <w:t>项的相关规定。</w:t>
            </w:r>
          </w:p>
          <w:p>
            <w:pPr>
              <w:adjustRightInd w:val="0"/>
              <w:snapToGrid w:val="0"/>
              <w:spacing w:line="0" w:lineRule="atLeast"/>
              <w:rPr>
                <w:snapToGrid w:val="0"/>
                <w:kern w:val="0"/>
                <w:szCs w:val="21"/>
              </w:rPr>
            </w:pPr>
            <w:r>
              <w:rPr>
                <w:snapToGrid w:val="0"/>
                <w:kern w:val="0"/>
                <w:szCs w:val="21"/>
              </w:rPr>
              <w:t>（4）投标人法定代表人授权委托代理人签署投标文件的，须提交授权委托书，符合招标文件规定。</w:t>
            </w:r>
          </w:p>
          <w:p>
            <w:pPr>
              <w:adjustRightInd w:val="0"/>
              <w:snapToGrid w:val="0"/>
              <w:spacing w:line="0" w:lineRule="atLeast"/>
              <w:rPr>
                <w:snapToGrid w:val="0"/>
                <w:kern w:val="0"/>
                <w:szCs w:val="21"/>
              </w:rPr>
            </w:pPr>
            <w:r>
              <w:rPr>
                <w:snapToGrid w:val="0"/>
                <w:kern w:val="0"/>
                <w:szCs w:val="21"/>
              </w:rPr>
              <w:t>（5）投标人法定代表人若亲自签署投标文件的，</w:t>
            </w:r>
            <w:r>
              <w:rPr>
                <w:rFonts w:hint="eastAsia"/>
                <w:snapToGrid w:val="0"/>
                <w:kern w:val="0"/>
                <w:szCs w:val="21"/>
              </w:rPr>
              <w:t>须提供</w:t>
            </w:r>
            <w:r>
              <w:rPr>
                <w:snapToGrid w:val="0"/>
                <w:kern w:val="0"/>
                <w:szCs w:val="21"/>
              </w:rPr>
              <w:t>法定代表人身份证明，符合招标文件规定。</w:t>
            </w:r>
          </w:p>
          <w:p>
            <w:pPr>
              <w:adjustRightInd w:val="0"/>
              <w:snapToGrid w:val="0"/>
              <w:spacing w:line="0" w:lineRule="atLeast"/>
              <w:textAlignment w:val="baseline"/>
              <w:rPr>
                <w:snapToGrid w:val="0"/>
                <w:kern w:val="0"/>
                <w:szCs w:val="21"/>
              </w:rPr>
            </w:pPr>
            <w:r>
              <w:rPr>
                <w:snapToGrid w:val="0"/>
                <w:kern w:val="0"/>
                <w:szCs w:val="21"/>
              </w:rPr>
              <w:t>（6）</w:t>
            </w:r>
            <w:r>
              <w:rPr>
                <w:rFonts w:hint="eastAsia"/>
                <w:snapToGrid w:val="0"/>
                <w:kern w:val="0"/>
                <w:szCs w:val="21"/>
              </w:rPr>
              <w:t>投标人的组成符合招标文件要求，如</w:t>
            </w:r>
            <w:r>
              <w:rPr>
                <w:snapToGrid w:val="0"/>
                <w:kern w:val="0"/>
                <w:szCs w:val="21"/>
              </w:rPr>
              <w:t>投标人以联合体形式投标时，联合体满足招标文件的要求：</w:t>
            </w:r>
          </w:p>
          <w:p>
            <w:pPr>
              <w:adjustRightInd w:val="0"/>
              <w:snapToGrid w:val="0"/>
              <w:spacing w:line="0" w:lineRule="atLeast"/>
              <w:textAlignment w:val="baseline"/>
              <w:rPr>
                <w:snapToGrid w:val="0"/>
                <w:kern w:val="0"/>
                <w:szCs w:val="21"/>
              </w:rPr>
            </w:pPr>
            <w:r>
              <w:rPr>
                <w:snapToGrid w:val="0"/>
                <w:kern w:val="0"/>
                <w:szCs w:val="21"/>
              </w:rPr>
              <w:t>投标人按照招标文件提供的格式和要求签订了联合体协议书，明确各方承担连带责任，并明确了联合体牵头人。</w:t>
            </w:r>
          </w:p>
          <w:p>
            <w:pPr>
              <w:adjustRightInd w:val="0"/>
              <w:snapToGrid w:val="0"/>
              <w:spacing w:line="0" w:lineRule="atLeast"/>
              <w:textAlignment w:val="baseline"/>
              <w:rPr>
                <w:snapToGrid w:val="0"/>
                <w:kern w:val="0"/>
                <w:szCs w:val="21"/>
              </w:rPr>
            </w:pPr>
            <w:r>
              <w:rPr>
                <w:rFonts w:hint="eastAsia"/>
                <w:snapToGrid w:val="0"/>
                <w:kern w:val="0"/>
                <w:szCs w:val="21"/>
              </w:rPr>
              <w:t>（7）投标人未将项目进行分包。</w:t>
            </w:r>
          </w:p>
          <w:p>
            <w:pPr>
              <w:adjustRightInd w:val="0"/>
              <w:snapToGrid w:val="0"/>
              <w:spacing w:line="0" w:lineRule="atLeast"/>
              <w:textAlignment w:val="baseline"/>
              <w:rPr>
                <w:snapToGrid w:val="0"/>
                <w:kern w:val="0"/>
                <w:szCs w:val="21"/>
              </w:rPr>
            </w:pPr>
            <w:r>
              <w:rPr>
                <w:rFonts w:hint="eastAsia"/>
                <w:snapToGrid w:val="0"/>
                <w:kern w:val="0"/>
                <w:szCs w:val="21"/>
              </w:rPr>
              <w:t>（8）投标人未提交备选方案。</w:t>
            </w:r>
          </w:p>
          <w:p>
            <w:pPr>
              <w:adjustRightInd w:val="0"/>
              <w:snapToGrid w:val="0"/>
              <w:spacing w:line="0" w:lineRule="atLeast"/>
              <w:textAlignment w:val="baseline"/>
              <w:rPr>
                <w:snapToGrid w:val="0"/>
                <w:kern w:val="0"/>
                <w:szCs w:val="21"/>
              </w:rPr>
            </w:pPr>
            <w:r>
              <w:rPr>
                <w:snapToGrid w:val="0"/>
                <w:kern w:val="0"/>
                <w:szCs w:val="21"/>
              </w:rPr>
              <w:t>（9）同一投标人未提交两个以上不同的投标文件。</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1</w:t>
            </w:r>
            <w:r>
              <w:rPr>
                <w:snapToGrid w:val="0"/>
                <w:kern w:val="0"/>
                <w:szCs w:val="21"/>
              </w:rPr>
              <w:t>0）投标文件中未出现有关投标报价的内容。</w:t>
            </w:r>
          </w:p>
          <w:p>
            <w:pPr>
              <w:adjustRightInd w:val="0"/>
              <w:snapToGrid w:val="0"/>
              <w:spacing w:line="0" w:lineRule="atLeast"/>
              <w:textAlignment w:val="baseline"/>
              <w:rPr>
                <w:snapToGrid w:val="0"/>
                <w:kern w:val="0"/>
                <w:szCs w:val="21"/>
              </w:rPr>
            </w:pPr>
            <w:r>
              <w:rPr>
                <w:snapToGrid w:val="0"/>
                <w:kern w:val="0"/>
                <w:szCs w:val="21"/>
              </w:rPr>
              <w:t>（11）投标文件载明的招标项目服务期限符合招标文件规定。</w:t>
            </w:r>
          </w:p>
          <w:p>
            <w:pPr>
              <w:adjustRightInd w:val="0"/>
              <w:snapToGrid w:val="0"/>
              <w:spacing w:line="0" w:lineRule="atLeast"/>
              <w:textAlignment w:val="baseline"/>
              <w:rPr>
                <w:snapToGrid w:val="0"/>
                <w:kern w:val="0"/>
                <w:szCs w:val="21"/>
              </w:rPr>
            </w:pPr>
            <w:r>
              <w:rPr>
                <w:snapToGrid w:val="0"/>
                <w:kern w:val="0"/>
                <w:szCs w:val="21"/>
              </w:rPr>
              <w:t>（12）投标文件对招标文件的实质性要求和条件作出响应。</w:t>
            </w:r>
          </w:p>
          <w:p>
            <w:pPr>
              <w:adjustRightInd w:val="0"/>
              <w:snapToGrid w:val="0"/>
              <w:spacing w:line="0" w:lineRule="atLeast"/>
              <w:textAlignment w:val="baseline"/>
              <w:rPr>
                <w:snapToGrid w:val="0"/>
                <w:kern w:val="0"/>
                <w:szCs w:val="21"/>
              </w:rPr>
            </w:pPr>
            <w:r>
              <w:rPr>
                <w:snapToGrid w:val="0"/>
                <w:kern w:val="0"/>
                <w:szCs w:val="21"/>
              </w:rPr>
              <w:t>（13）权利义务符合招标文件规定：</w:t>
            </w:r>
          </w:p>
          <w:p>
            <w:pPr>
              <w:adjustRightInd w:val="0"/>
              <w:snapToGrid w:val="0"/>
              <w:spacing w:line="0" w:lineRule="atLeast"/>
              <w:textAlignment w:val="baseline"/>
              <w:rPr>
                <w:snapToGrid w:val="0"/>
                <w:kern w:val="0"/>
                <w:szCs w:val="21"/>
              </w:rPr>
            </w:pPr>
            <w:r>
              <w:rPr>
                <w:snapToGrid w:val="0"/>
                <w:kern w:val="0"/>
                <w:szCs w:val="21"/>
              </w:rPr>
              <w:t>a. 投标人应接受招标文件规定的风险划分原则，未提出新的风险划分办法；</w:t>
            </w:r>
          </w:p>
          <w:p>
            <w:pPr>
              <w:adjustRightInd w:val="0"/>
              <w:snapToGrid w:val="0"/>
              <w:spacing w:line="0" w:lineRule="atLeast"/>
              <w:textAlignment w:val="baseline"/>
              <w:rPr>
                <w:snapToGrid w:val="0"/>
                <w:kern w:val="0"/>
                <w:szCs w:val="21"/>
              </w:rPr>
            </w:pPr>
            <w:r>
              <w:rPr>
                <w:snapToGrid w:val="0"/>
                <w:kern w:val="0"/>
                <w:szCs w:val="21"/>
              </w:rPr>
              <w:t>b. 投标人未增加</w:t>
            </w:r>
            <w:r>
              <w:rPr>
                <w:rFonts w:hint="eastAsia"/>
                <w:snapToGrid w:val="0"/>
                <w:kern w:val="0"/>
                <w:szCs w:val="21"/>
              </w:rPr>
              <w:t>委托人</w:t>
            </w:r>
            <w:r>
              <w:rPr>
                <w:snapToGrid w:val="0"/>
                <w:kern w:val="0"/>
                <w:szCs w:val="21"/>
              </w:rPr>
              <w:t>的责任范围，或减少投标人义务；</w:t>
            </w:r>
          </w:p>
          <w:p>
            <w:pPr>
              <w:adjustRightInd w:val="0"/>
              <w:snapToGrid w:val="0"/>
              <w:spacing w:line="0" w:lineRule="atLeast"/>
              <w:textAlignment w:val="baseline"/>
              <w:rPr>
                <w:snapToGrid w:val="0"/>
                <w:kern w:val="0"/>
                <w:szCs w:val="21"/>
              </w:rPr>
            </w:pPr>
            <w:r>
              <w:rPr>
                <w:snapToGrid w:val="0"/>
                <w:kern w:val="0"/>
                <w:szCs w:val="21"/>
              </w:rPr>
              <w:t>c. 投标人未提出不同的支付办法；</w:t>
            </w:r>
          </w:p>
          <w:p>
            <w:pPr>
              <w:adjustRightInd w:val="0"/>
              <w:snapToGrid w:val="0"/>
              <w:spacing w:line="0" w:lineRule="atLeast"/>
              <w:textAlignment w:val="baseline"/>
              <w:rPr>
                <w:snapToGrid w:val="0"/>
                <w:kern w:val="0"/>
                <w:szCs w:val="21"/>
              </w:rPr>
            </w:pPr>
            <w:r>
              <w:rPr>
                <w:snapToGrid w:val="0"/>
                <w:kern w:val="0"/>
                <w:szCs w:val="21"/>
              </w:rPr>
              <w:t>d. 投标人对合同纠纷、事故处理办法未提出异议；</w:t>
            </w:r>
          </w:p>
          <w:p>
            <w:pPr>
              <w:adjustRightInd w:val="0"/>
              <w:snapToGrid w:val="0"/>
              <w:spacing w:line="0" w:lineRule="atLeast"/>
              <w:textAlignment w:val="baseline"/>
              <w:rPr>
                <w:snapToGrid w:val="0"/>
                <w:kern w:val="0"/>
                <w:szCs w:val="21"/>
              </w:rPr>
            </w:pPr>
            <w:r>
              <w:rPr>
                <w:snapToGrid w:val="0"/>
                <w:kern w:val="0"/>
                <w:szCs w:val="21"/>
              </w:rPr>
              <w:t>e. 投标人在投标活动中无欺诈行为；</w:t>
            </w:r>
          </w:p>
          <w:p>
            <w:pPr>
              <w:adjustRightInd w:val="0"/>
              <w:snapToGrid w:val="0"/>
              <w:spacing w:line="0" w:lineRule="atLeast"/>
              <w:textAlignment w:val="baseline"/>
              <w:rPr>
                <w:snapToGrid w:val="0"/>
                <w:kern w:val="0"/>
                <w:szCs w:val="21"/>
              </w:rPr>
            </w:pPr>
            <w:r>
              <w:rPr>
                <w:snapToGrid w:val="0"/>
                <w:kern w:val="0"/>
                <w:szCs w:val="21"/>
              </w:rPr>
              <w:t>f. 投标人未对合同条款有重要保留。</w:t>
            </w:r>
          </w:p>
          <w:p>
            <w:pPr>
              <w:adjustRightInd w:val="0"/>
              <w:snapToGrid w:val="0"/>
              <w:spacing w:line="0" w:lineRule="atLeast"/>
              <w:textAlignment w:val="baseline"/>
              <w:rPr>
                <w:b/>
                <w:bCs/>
                <w:snapToGrid w:val="0"/>
                <w:kern w:val="0"/>
                <w:szCs w:val="21"/>
              </w:rPr>
            </w:pPr>
            <w:r>
              <w:rPr>
                <w:b/>
                <w:bCs/>
                <w:snapToGrid w:val="0"/>
                <w:kern w:val="0"/>
                <w:szCs w:val="21"/>
              </w:rPr>
              <w:t>第二个信封（报价文件）评审标准：</w:t>
            </w:r>
          </w:p>
          <w:p>
            <w:pPr>
              <w:adjustRightInd w:val="0"/>
              <w:snapToGrid w:val="0"/>
              <w:spacing w:line="0" w:lineRule="atLeast"/>
              <w:textAlignment w:val="baseline"/>
              <w:rPr>
                <w:bCs/>
                <w:snapToGrid w:val="0"/>
                <w:kern w:val="0"/>
                <w:szCs w:val="21"/>
              </w:rPr>
            </w:pPr>
            <w:r>
              <w:rPr>
                <w:snapToGrid w:val="0"/>
                <w:kern w:val="0"/>
                <w:szCs w:val="21"/>
              </w:rPr>
              <w:t>（1）</w:t>
            </w:r>
            <w:r>
              <w:rPr>
                <w:bCs/>
                <w:snapToGrid w:val="0"/>
                <w:kern w:val="0"/>
                <w:szCs w:val="21"/>
              </w:rPr>
              <w:t>投标文件按照招标文件规定的格式、内容填写，字迹清晰可辨。</w:t>
            </w:r>
          </w:p>
          <w:p>
            <w:pPr>
              <w:adjustRightInd w:val="0"/>
              <w:snapToGrid w:val="0"/>
              <w:spacing w:line="0" w:lineRule="atLeast"/>
              <w:textAlignment w:val="baseline"/>
              <w:rPr>
                <w:bCs/>
                <w:snapToGrid w:val="0"/>
                <w:kern w:val="0"/>
                <w:szCs w:val="21"/>
              </w:rPr>
            </w:pPr>
            <w:r>
              <w:rPr>
                <w:bCs/>
                <w:snapToGrid w:val="0"/>
                <w:kern w:val="0"/>
                <w:szCs w:val="21"/>
              </w:rPr>
              <w:t>a</w:t>
            </w:r>
            <w:r>
              <w:rPr>
                <w:rFonts w:hint="eastAsia"/>
                <w:bCs/>
                <w:snapToGrid w:val="0"/>
                <w:kern w:val="0"/>
                <w:szCs w:val="21"/>
              </w:rPr>
              <w:t>.</w:t>
            </w:r>
            <w:r>
              <w:rPr>
                <w:bCs/>
                <w:snapToGrid w:val="0"/>
                <w:kern w:val="0"/>
                <w:szCs w:val="21"/>
              </w:rPr>
              <w:t xml:space="preserve"> 函按招标文件规定填报了项目名称、补遗书编号（如有）</w:t>
            </w:r>
            <w:r>
              <w:rPr>
                <w:snapToGrid w:val="0"/>
                <w:kern w:val="0"/>
                <w:szCs w:val="21"/>
              </w:rPr>
              <w:t>、</w:t>
            </w:r>
            <w:r>
              <w:rPr>
                <w:bCs/>
                <w:snapToGrid w:val="0"/>
                <w:kern w:val="0"/>
                <w:szCs w:val="21"/>
              </w:rPr>
              <w:t>投标报价（包括大写金额和小写金额）；</w:t>
            </w:r>
          </w:p>
          <w:p>
            <w:pPr>
              <w:adjustRightInd w:val="0"/>
              <w:snapToGrid w:val="0"/>
              <w:spacing w:line="0" w:lineRule="atLeast"/>
              <w:textAlignment w:val="baseline"/>
              <w:rPr>
                <w:bCs/>
                <w:snapToGrid w:val="0"/>
                <w:kern w:val="0"/>
                <w:szCs w:val="21"/>
              </w:rPr>
            </w:pPr>
            <w:r>
              <w:rPr>
                <w:bCs/>
                <w:snapToGrid w:val="0"/>
                <w:kern w:val="0"/>
                <w:szCs w:val="21"/>
              </w:rPr>
              <w:t>b</w:t>
            </w:r>
            <w:r>
              <w:rPr>
                <w:rFonts w:hint="eastAsia"/>
                <w:bCs/>
                <w:snapToGrid w:val="0"/>
                <w:kern w:val="0"/>
                <w:szCs w:val="21"/>
              </w:rPr>
              <w:t>.</w:t>
            </w:r>
            <w:r>
              <w:rPr>
                <w:bCs/>
                <w:snapToGrid w:val="0"/>
                <w:kern w:val="0"/>
                <w:szCs w:val="21"/>
              </w:rPr>
              <w:t xml:space="preserve"> 清单说明文字与招标文件规定一致，未进行实质性修改和删减；</w:t>
            </w:r>
          </w:p>
          <w:p>
            <w:pPr>
              <w:adjustRightInd w:val="0"/>
              <w:snapToGrid w:val="0"/>
              <w:spacing w:line="0" w:lineRule="atLeast"/>
              <w:textAlignment w:val="baseline"/>
              <w:rPr>
                <w:bCs/>
                <w:snapToGrid w:val="0"/>
                <w:kern w:val="0"/>
                <w:szCs w:val="21"/>
              </w:rPr>
            </w:pPr>
            <w:r>
              <w:rPr>
                <w:bCs/>
                <w:snapToGrid w:val="0"/>
                <w:kern w:val="0"/>
                <w:szCs w:val="21"/>
              </w:rPr>
              <w:t xml:space="preserve">c. </w:t>
            </w:r>
            <w:r>
              <w:rPr>
                <w:rFonts w:hint="eastAsia"/>
                <w:bCs/>
                <w:snapToGrid w:val="0"/>
                <w:kern w:val="0"/>
                <w:szCs w:val="21"/>
              </w:rPr>
              <w:t>投</w:t>
            </w:r>
            <w:r>
              <w:rPr>
                <w:bCs/>
                <w:snapToGrid w:val="0"/>
                <w:kern w:val="0"/>
                <w:szCs w:val="21"/>
              </w:rPr>
              <w:t>标文件组成齐全完整，内容均按规定填写。</w:t>
            </w:r>
          </w:p>
          <w:p>
            <w:pPr>
              <w:adjustRightInd w:val="0"/>
              <w:snapToGrid w:val="0"/>
              <w:spacing w:line="0" w:lineRule="atLeast"/>
              <w:textAlignment w:val="baseline"/>
              <w:rPr>
                <w:snapToGrid w:val="0"/>
                <w:kern w:val="0"/>
                <w:szCs w:val="21"/>
              </w:rPr>
            </w:pPr>
            <w:r>
              <w:rPr>
                <w:snapToGrid w:val="0"/>
                <w:kern w:val="0"/>
                <w:szCs w:val="21"/>
              </w:rPr>
              <w:t>（2）投标文件上法定代表人或其授权代理人的签字、投标人的单位章盖章齐全，符合招标文件规定。</w:t>
            </w:r>
          </w:p>
          <w:p>
            <w:pPr>
              <w:adjustRightInd w:val="0"/>
              <w:snapToGrid w:val="0"/>
              <w:spacing w:line="0" w:lineRule="atLeast"/>
              <w:textAlignment w:val="baseline"/>
              <w:rPr>
                <w:snapToGrid w:val="0"/>
                <w:kern w:val="0"/>
                <w:szCs w:val="21"/>
              </w:rPr>
            </w:pPr>
            <w:r>
              <w:rPr>
                <w:bCs/>
                <w:snapToGrid w:val="0"/>
                <w:kern w:val="0"/>
                <w:szCs w:val="21"/>
              </w:rPr>
              <w:t>（3）</w:t>
            </w:r>
            <w:r>
              <w:rPr>
                <w:snapToGrid w:val="0"/>
                <w:kern w:val="0"/>
                <w:szCs w:val="21"/>
              </w:rPr>
              <w:t>投标报价未超过招标文件设定的最高投标限价。</w:t>
            </w:r>
          </w:p>
          <w:p>
            <w:pPr>
              <w:adjustRightInd w:val="0"/>
              <w:snapToGrid w:val="0"/>
              <w:spacing w:line="0" w:lineRule="atLeast"/>
              <w:textAlignment w:val="baseline"/>
              <w:rPr>
                <w:snapToGrid w:val="0"/>
                <w:kern w:val="0"/>
                <w:szCs w:val="21"/>
              </w:rPr>
            </w:pPr>
            <w:r>
              <w:rPr>
                <w:snapToGrid w:val="0"/>
                <w:kern w:val="0"/>
                <w:szCs w:val="21"/>
              </w:rPr>
              <w:t>（4）投标报价的大写金额能够确定具体数值。</w:t>
            </w:r>
          </w:p>
          <w:p>
            <w:pPr>
              <w:adjustRightInd w:val="0"/>
              <w:snapToGrid w:val="0"/>
              <w:spacing w:line="0" w:lineRule="atLeast"/>
              <w:textAlignment w:val="baseline"/>
              <w:rPr>
                <w:snapToGrid w:val="0"/>
                <w:kern w:val="0"/>
                <w:szCs w:val="21"/>
              </w:rPr>
            </w:pPr>
            <w:r>
              <w:rPr>
                <w:snapToGrid w:val="0"/>
                <w:kern w:val="0"/>
                <w:szCs w:val="21"/>
              </w:rPr>
              <w:t>（5）同一投标人未提交两个以上不同的投标报价。</w:t>
            </w:r>
          </w:p>
          <w:p>
            <w:pPr>
              <w:adjustRightInd w:val="0"/>
              <w:snapToGrid w:val="0"/>
              <w:spacing w:line="0" w:lineRule="atLeast"/>
              <w:textAlignment w:val="baseline"/>
              <w:rPr>
                <w:snapToGrid w:val="0"/>
                <w:kern w:val="0"/>
                <w:szCs w:val="21"/>
              </w:rPr>
            </w:pPr>
            <w:r>
              <w:rPr>
                <w:snapToGrid w:val="0"/>
                <w:kern w:val="0"/>
                <w:szCs w:val="21"/>
              </w:rPr>
              <w:t>（6）投标报价中交工验收及缺陷责任期阶段监理服务费报价不低于监理服务总费用的</w:t>
            </w:r>
            <w:r>
              <w:rPr>
                <w:snapToGrid w:val="0"/>
                <w:kern w:val="0"/>
                <w:szCs w:val="21"/>
                <w:u w:val="single"/>
              </w:rPr>
              <w:t xml:space="preserve"> 5 </w:t>
            </w:r>
            <w:r>
              <w:rPr>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kern w:val="0"/>
                <w:szCs w:val="21"/>
              </w:rPr>
            </w:pPr>
            <w:r>
              <w:rPr>
                <w:snapToGrid w:val="0"/>
                <w:kern w:val="0"/>
                <w:szCs w:val="21"/>
              </w:rPr>
              <w:t>（1）投标人具备有效的营业执照、组织机构代码证（三证合一或五证合一的除外）、监理资质证书和基本账户开户许可证（或基本存款账户信息）</w:t>
            </w:r>
            <w:r>
              <w:rPr>
                <w:rFonts w:hint="eastAsia"/>
                <w:snapToGrid w:val="0"/>
                <w:kern w:val="0"/>
                <w:szCs w:val="21"/>
              </w:rPr>
              <w:t>。</w:t>
            </w:r>
          </w:p>
          <w:p>
            <w:pPr>
              <w:adjustRightInd w:val="0"/>
              <w:snapToGrid w:val="0"/>
              <w:spacing w:line="0" w:lineRule="atLeast"/>
              <w:textAlignment w:val="baseline"/>
              <w:rPr>
                <w:snapToGrid w:val="0"/>
                <w:kern w:val="0"/>
                <w:szCs w:val="21"/>
              </w:rPr>
            </w:pPr>
            <w:r>
              <w:rPr>
                <w:snapToGrid w:val="0"/>
                <w:kern w:val="0"/>
                <w:szCs w:val="21"/>
              </w:rPr>
              <w:t>（2）投标人的资质等级符合招标文件规定。</w:t>
            </w:r>
          </w:p>
          <w:p>
            <w:pPr>
              <w:adjustRightInd w:val="0"/>
              <w:snapToGrid w:val="0"/>
              <w:spacing w:line="0" w:lineRule="atLeast"/>
              <w:textAlignment w:val="baseline"/>
              <w:rPr>
                <w:snapToGrid w:val="0"/>
                <w:kern w:val="0"/>
                <w:szCs w:val="21"/>
              </w:rPr>
            </w:pPr>
            <w:r>
              <w:rPr>
                <w:snapToGrid w:val="0"/>
                <w:kern w:val="0"/>
                <w:szCs w:val="21"/>
              </w:rPr>
              <w:t>（3）投标人的类似项目业绩符合招标文件的规定。</w:t>
            </w:r>
          </w:p>
          <w:p>
            <w:pPr>
              <w:adjustRightInd w:val="0"/>
              <w:snapToGrid w:val="0"/>
              <w:spacing w:line="0" w:lineRule="atLeast"/>
              <w:textAlignment w:val="baseline"/>
              <w:rPr>
                <w:snapToGrid w:val="0"/>
                <w:kern w:val="0"/>
                <w:szCs w:val="21"/>
              </w:rPr>
            </w:pPr>
            <w:r>
              <w:rPr>
                <w:snapToGrid w:val="0"/>
                <w:kern w:val="0"/>
                <w:szCs w:val="21"/>
              </w:rPr>
              <w:t>（4）投标人的信誉符合招标文件规定。</w:t>
            </w:r>
          </w:p>
          <w:p>
            <w:pPr>
              <w:adjustRightInd w:val="0"/>
              <w:snapToGrid w:val="0"/>
              <w:spacing w:line="0" w:lineRule="atLeast"/>
              <w:textAlignment w:val="baseline"/>
              <w:rPr>
                <w:snapToGrid w:val="0"/>
                <w:kern w:val="0"/>
                <w:szCs w:val="21"/>
              </w:rPr>
            </w:pPr>
            <w:r>
              <w:rPr>
                <w:snapToGrid w:val="0"/>
                <w:kern w:val="0"/>
                <w:szCs w:val="21"/>
              </w:rPr>
              <w:t>（5）投标人的</w:t>
            </w:r>
            <w:r>
              <w:rPr>
                <w:rFonts w:hint="eastAsia"/>
                <w:snapToGrid w:val="0"/>
                <w:kern w:val="0"/>
                <w:szCs w:val="21"/>
              </w:rPr>
              <w:t>总监理工程师</w:t>
            </w:r>
            <w:r>
              <w:rPr>
                <w:snapToGrid w:val="0"/>
                <w:kern w:val="0"/>
                <w:szCs w:val="21"/>
              </w:rPr>
              <w:t>资格符合招标文件规定。</w:t>
            </w:r>
          </w:p>
          <w:p>
            <w:pPr>
              <w:adjustRightInd w:val="0"/>
              <w:snapToGrid w:val="0"/>
              <w:spacing w:line="0" w:lineRule="atLeast"/>
              <w:textAlignment w:val="baseline"/>
              <w:rPr>
                <w:snapToGrid w:val="0"/>
                <w:kern w:val="0"/>
                <w:szCs w:val="21"/>
              </w:rPr>
            </w:pPr>
            <w:r>
              <w:rPr>
                <w:rFonts w:hint="eastAsia"/>
                <w:snapToGrid w:val="0"/>
                <w:kern w:val="0"/>
                <w:szCs w:val="21"/>
              </w:rPr>
              <w:t>（6）投标人的其他要求符合招标文件规定。</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7</w:t>
            </w:r>
            <w:r>
              <w:rPr>
                <w:snapToGrid w:val="0"/>
                <w:kern w:val="0"/>
                <w:szCs w:val="21"/>
              </w:rPr>
              <w:t>）投标人不存在第二章“投标人须知”第1.4.3项或1.4.4项规定的任何一种情形。</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8</w:t>
            </w:r>
            <w:r>
              <w:rPr>
                <w:snapToGrid w:val="0"/>
                <w:kern w:val="0"/>
                <w:szCs w:val="21"/>
              </w:rPr>
              <w:t>）投标人符合第二章“投标人须知”第1.4.5项规定。</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9</w:t>
            </w:r>
            <w:r>
              <w:rPr>
                <w:snapToGrid w:val="0"/>
                <w:kern w:val="0"/>
                <w:szCs w:val="21"/>
              </w:rPr>
              <w:t>）以联合体形式参与投标的，联合体各方均未再以自己名义单独或参加其他联合体在同一标段中投标；独立参与投标的，投标人未同时参加联合体在同一标段中投标。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bookmarkStart w:id="39" w:name="_Hlk136416228"/>
            <w:r>
              <w:rPr>
                <w:snapToGrid w:val="0"/>
                <w:kern w:val="0"/>
                <w:szCs w:val="21"/>
              </w:rPr>
              <w:t>分值构成</w:t>
            </w:r>
            <w:bookmarkEnd w:id="39"/>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bCs/>
                <w:snapToGrid w:val="0"/>
                <w:kern w:val="0"/>
                <w:szCs w:val="21"/>
              </w:rPr>
            </w:pPr>
            <w:r>
              <w:rPr>
                <w:b/>
                <w:bCs/>
                <w:snapToGrid w:val="0"/>
                <w:kern w:val="0"/>
                <w:szCs w:val="21"/>
              </w:rPr>
              <w:t>第一信封（商务及技术文件）评分分值构成：</w:t>
            </w:r>
          </w:p>
          <w:p>
            <w:pPr>
              <w:adjustRightInd w:val="0"/>
              <w:snapToGrid w:val="0"/>
              <w:spacing w:line="0" w:lineRule="atLeast"/>
              <w:rPr>
                <w:snapToGrid w:val="0"/>
                <w:kern w:val="0"/>
                <w:szCs w:val="21"/>
              </w:rPr>
            </w:pPr>
            <w:r>
              <w:rPr>
                <w:snapToGrid w:val="0"/>
                <w:kern w:val="0"/>
                <w:szCs w:val="21"/>
              </w:rPr>
              <w:t>技术建议书：</w:t>
            </w:r>
            <w:r>
              <w:rPr>
                <w:rFonts w:hint="eastAsia"/>
                <w:snapToGrid w:val="0"/>
                <w:kern w:val="0"/>
                <w:szCs w:val="21"/>
                <w:u w:val="single"/>
              </w:rPr>
              <w:t>35</w:t>
            </w:r>
            <w:r>
              <w:rPr>
                <w:snapToGrid w:val="0"/>
                <w:kern w:val="0"/>
                <w:szCs w:val="21"/>
              </w:rPr>
              <w:t>分</w:t>
            </w:r>
          </w:p>
          <w:p>
            <w:pPr>
              <w:adjustRightInd w:val="0"/>
              <w:snapToGrid w:val="0"/>
              <w:spacing w:line="0" w:lineRule="atLeast"/>
              <w:rPr>
                <w:snapToGrid w:val="0"/>
                <w:kern w:val="0"/>
                <w:szCs w:val="21"/>
              </w:rPr>
            </w:pPr>
            <w:r>
              <w:rPr>
                <w:snapToGrid w:val="0"/>
                <w:kern w:val="0"/>
                <w:szCs w:val="21"/>
              </w:rPr>
              <w:t>主要人员：</w:t>
            </w:r>
            <w:r>
              <w:rPr>
                <w:rFonts w:hint="eastAsia"/>
                <w:snapToGrid w:val="0"/>
                <w:kern w:val="0"/>
                <w:szCs w:val="21"/>
                <w:u w:val="single"/>
              </w:rPr>
              <w:t>25</w:t>
            </w:r>
            <w:r>
              <w:rPr>
                <w:snapToGrid w:val="0"/>
                <w:kern w:val="0"/>
                <w:szCs w:val="21"/>
              </w:rPr>
              <w:t>分</w:t>
            </w:r>
          </w:p>
          <w:p>
            <w:pPr>
              <w:adjustRightInd w:val="0"/>
              <w:snapToGrid w:val="0"/>
              <w:spacing w:line="0" w:lineRule="atLeast"/>
              <w:rPr>
                <w:snapToGrid w:val="0"/>
                <w:kern w:val="0"/>
                <w:szCs w:val="21"/>
              </w:rPr>
            </w:pPr>
            <w:r>
              <w:rPr>
                <w:snapToGrid w:val="0"/>
                <w:kern w:val="0"/>
                <w:szCs w:val="21"/>
              </w:rPr>
              <w:t>业    绩：</w:t>
            </w:r>
            <w:r>
              <w:rPr>
                <w:rFonts w:hint="eastAsia"/>
                <w:snapToGrid w:val="0"/>
                <w:kern w:val="0"/>
                <w:szCs w:val="21"/>
                <w:u w:val="single"/>
              </w:rPr>
              <w:t>30</w:t>
            </w:r>
            <w:r>
              <w:rPr>
                <w:snapToGrid w:val="0"/>
                <w:kern w:val="0"/>
                <w:szCs w:val="21"/>
              </w:rPr>
              <w:t>分</w:t>
            </w:r>
          </w:p>
          <w:p>
            <w:pPr>
              <w:adjustRightInd w:val="0"/>
              <w:snapToGrid w:val="0"/>
              <w:spacing w:line="0" w:lineRule="atLeast"/>
              <w:rPr>
                <w:b/>
                <w:bCs/>
                <w:snapToGrid w:val="0"/>
                <w:kern w:val="0"/>
                <w:szCs w:val="21"/>
              </w:rPr>
            </w:pPr>
            <w:r>
              <w:rPr>
                <w:b/>
                <w:bCs/>
                <w:snapToGrid w:val="0"/>
                <w:kern w:val="0"/>
                <w:szCs w:val="21"/>
              </w:rPr>
              <w:t>第二信封（报价文件）评分分值构成：</w:t>
            </w:r>
          </w:p>
          <w:p>
            <w:pPr>
              <w:adjustRightInd w:val="0"/>
              <w:snapToGrid w:val="0"/>
              <w:spacing w:line="0" w:lineRule="atLeast"/>
              <w:textAlignment w:val="baseline"/>
              <w:rPr>
                <w:snapToGrid w:val="0"/>
                <w:kern w:val="0"/>
                <w:szCs w:val="21"/>
              </w:rPr>
            </w:pPr>
            <w:r>
              <w:rPr>
                <w:snapToGrid w:val="0"/>
                <w:kern w:val="0"/>
                <w:szCs w:val="21"/>
              </w:rPr>
              <w:t>评标价：</w:t>
            </w:r>
            <w:r>
              <w:rPr>
                <w:rFonts w:hint="eastAsia"/>
                <w:snapToGrid w:val="0"/>
                <w:kern w:val="0"/>
                <w:szCs w:val="21"/>
                <w:u w:val="single"/>
              </w:rPr>
              <w:t>10</w:t>
            </w:r>
            <w:r>
              <w:rPr>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在开标现场，招标人将当场计算并宣布评标基准价。</w:t>
            </w:r>
          </w:p>
          <w:p>
            <w:pPr>
              <w:adjustRightInd w:val="0"/>
              <w:snapToGrid w:val="0"/>
              <w:spacing w:line="0" w:lineRule="atLeast"/>
              <w:rPr>
                <w:snapToGrid w:val="0"/>
                <w:kern w:val="0"/>
                <w:szCs w:val="21"/>
              </w:rPr>
            </w:pPr>
            <w:r>
              <w:rPr>
                <w:snapToGrid w:val="0"/>
                <w:kern w:val="0"/>
                <w:szCs w:val="21"/>
              </w:rPr>
              <w:t>（1）评标价的确定：评标价=投标函文字报价</w:t>
            </w:r>
          </w:p>
          <w:p>
            <w:pPr>
              <w:adjustRightInd w:val="0"/>
              <w:snapToGrid w:val="0"/>
              <w:spacing w:line="0" w:lineRule="atLeast"/>
              <w:rPr>
                <w:snapToGrid w:val="0"/>
                <w:kern w:val="0"/>
                <w:szCs w:val="21"/>
              </w:rPr>
            </w:pPr>
            <w:r>
              <w:rPr>
                <w:snapToGrid w:val="0"/>
                <w:kern w:val="0"/>
                <w:szCs w:val="21"/>
              </w:rPr>
              <w:t>（2）评标价平均值的计算：</w:t>
            </w:r>
          </w:p>
          <w:p>
            <w:pPr>
              <w:adjustRightInd w:val="0"/>
              <w:snapToGrid w:val="0"/>
              <w:spacing w:line="0" w:lineRule="atLeast"/>
              <w:rPr>
                <w:snapToGrid w:val="0"/>
                <w:kern w:val="0"/>
                <w:szCs w:val="21"/>
              </w:rPr>
            </w:pPr>
            <w:r>
              <w:rPr>
                <w:snapToGrid w:val="0"/>
                <w:kern w:val="0"/>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pPr>
              <w:adjustRightInd w:val="0"/>
              <w:snapToGrid w:val="0"/>
              <w:spacing w:line="0" w:lineRule="atLeast"/>
              <w:rPr>
                <w:snapToGrid w:val="0"/>
                <w:kern w:val="0"/>
                <w:szCs w:val="21"/>
              </w:rPr>
            </w:pPr>
            <w:r>
              <w:rPr>
                <w:snapToGrid w:val="0"/>
                <w:kern w:val="0"/>
                <w:szCs w:val="21"/>
              </w:rPr>
              <w:t>如果参与评标价平均值计算的投标人数量＜6家时，n1=0，n2=0；</w:t>
            </w:r>
          </w:p>
          <w:p>
            <w:pPr>
              <w:adjustRightInd w:val="0"/>
              <w:snapToGrid w:val="0"/>
              <w:spacing w:line="0" w:lineRule="atLeast"/>
              <w:rPr>
                <w:snapToGrid w:val="0"/>
                <w:kern w:val="0"/>
                <w:szCs w:val="21"/>
              </w:rPr>
            </w:pPr>
            <w:r>
              <w:rPr>
                <w:snapToGrid w:val="0"/>
                <w:kern w:val="0"/>
                <w:szCs w:val="21"/>
              </w:rPr>
              <w:t>6家≤参与评标价平均值计算的投标人数量＜10家时，n1=</w:t>
            </w:r>
            <w:r>
              <w:rPr>
                <w:rFonts w:hint="eastAsia"/>
                <w:snapToGrid w:val="0"/>
                <w:kern w:val="0"/>
                <w:szCs w:val="21"/>
              </w:rPr>
              <w:t>1</w:t>
            </w:r>
            <w:r>
              <w:rPr>
                <w:snapToGrid w:val="0"/>
                <w:kern w:val="0"/>
                <w:szCs w:val="21"/>
              </w:rPr>
              <w:t>，n2=</w:t>
            </w:r>
            <w:r>
              <w:rPr>
                <w:rFonts w:hint="eastAsia"/>
                <w:snapToGrid w:val="0"/>
                <w:kern w:val="0"/>
                <w:szCs w:val="21"/>
              </w:rPr>
              <w:t>2</w:t>
            </w:r>
            <w:r>
              <w:rPr>
                <w:snapToGrid w:val="0"/>
                <w:kern w:val="0"/>
                <w:szCs w:val="21"/>
              </w:rPr>
              <w:t>；</w:t>
            </w:r>
          </w:p>
          <w:p>
            <w:pPr>
              <w:adjustRightInd w:val="0"/>
              <w:snapToGrid w:val="0"/>
              <w:spacing w:line="0" w:lineRule="atLeast"/>
              <w:rPr>
                <w:snapToGrid w:val="0"/>
                <w:kern w:val="0"/>
                <w:szCs w:val="21"/>
              </w:rPr>
            </w:pPr>
            <w:r>
              <w:rPr>
                <w:snapToGrid w:val="0"/>
                <w:kern w:val="0"/>
                <w:szCs w:val="21"/>
              </w:rPr>
              <w:t>10家≤参与评标价平均值计算的投标人数量＜20家时，n1=</w:t>
            </w:r>
            <w:r>
              <w:rPr>
                <w:rFonts w:hint="eastAsia"/>
                <w:snapToGrid w:val="0"/>
                <w:kern w:val="0"/>
                <w:szCs w:val="21"/>
              </w:rPr>
              <w:t>2</w:t>
            </w:r>
            <w:r>
              <w:rPr>
                <w:snapToGrid w:val="0"/>
                <w:kern w:val="0"/>
                <w:szCs w:val="21"/>
              </w:rPr>
              <w:t>，n2=</w:t>
            </w:r>
            <w:r>
              <w:rPr>
                <w:rFonts w:hint="eastAsia"/>
                <w:snapToGrid w:val="0"/>
                <w:kern w:val="0"/>
                <w:szCs w:val="21"/>
              </w:rPr>
              <w:t>2</w:t>
            </w:r>
            <w:r>
              <w:rPr>
                <w:snapToGrid w:val="0"/>
                <w:kern w:val="0"/>
                <w:szCs w:val="21"/>
              </w:rPr>
              <w:t>；</w:t>
            </w:r>
          </w:p>
          <w:p>
            <w:pPr>
              <w:adjustRightInd w:val="0"/>
              <w:snapToGrid w:val="0"/>
              <w:spacing w:line="0" w:lineRule="atLeast"/>
              <w:rPr>
                <w:snapToGrid w:val="0"/>
                <w:kern w:val="0"/>
                <w:szCs w:val="21"/>
              </w:rPr>
            </w:pPr>
            <w:r>
              <w:rPr>
                <w:rFonts w:hint="eastAsia"/>
                <w:snapToGrid w:val="0"/>
                <w:kern w:val="0"/>
                <w:szCs w:val="21"/>
              </w:rPr>
              <w:t>2</w:t>
            </w:r>
            <w:r>
              <w:rPr>
                <w:snapToGrid w:val="0"/>
                <w:kern w:val="0"/>
                <w:szCs w:val="21"/>
              </w:rPr>
              <w:t>0家≤参与评标价平均值计算的投标人数量时，n1=</w:t>
            </w:r>
            <w:r>
              <w:rPr>
                <w:rFonts w:hint="eastAsia"/>
                <w:snapToGrid w:val="0"/>
                <w:kern w:val="0"/>
                <w:szCs w:val="21"/>
              </w:rPr>
              <w:t>3</w:t>
            </w:r>
            <w:r>
              <w:rPr>
                <w:snapToGrid w:val="0"/>
                <w:kern w:val="0"/>
                <w:szCs w:val="21"/>
              </w:rPr>
              <w:t>，n2=</w:t>
            </w:r>
            <w:r>
              <w:rPr>
                <w:rFonts w:hint="eastAsia"/>
                <w:snapToGrid w:val="0"/>
                <w:kern w:val="0"/>
                <w:szCs w:val="21"/>
              </w:rPr>
              <w:t>3</w:t>
            </w:r>
            <w:r>
              <w:rPr>
                <w:snapToGrid w:val="0"/>
                <w:kern w:val="0"/>
                <w:szCs w:val="21"/>
              </w:rPr>
              <w:t>；</w:t>
            </w:r>
          </w:p>
          <w:p>
            <w:pPr>
              <w:adjustRightInd w:val="0"/>
              <w:snapToGrid w:val="0"/>
              <w:spacing w:line="0" w:lineRule="atLeast"/>
              <w:rPr>
                <w:snapToGrid w:val="0"/>
                <w:kern w:val="0"/>
                <w:szCs w:val="21"/>
              </w:rPr>
            </w:pPr>
            <w:r>
              <w:rPr>
                <w:snapToGrid w:val="0"/>
                <w:kern w:val="0"/>
                <w:szCs w:val="21"/>
              </w:rPr>
              <w:t>（3）评标基准价的确定：</w:t>
            </w:r>
            <w:r>
              <w:rPr>
                <w:rFonts w:hint="eastAsia"/>
                <w:snapToGrid w:val="0"/>
                <w:kern w:val="0"/>
                <w:szCs w:val="21"/>
              </w:rPr>
              <w:t>评标价平均值直接作为评标基准价。</w:t>
            </w:r>
          </w:p>
          <w:p>
            <w:pPr>
              <w:adjustRightInd w:val="0"/>
              <w:snapToGrid w:val="0"/>
              <w:spacing w:line="0" w:lineRule="atLeast"/>
              <w:rPr>
                <w:snapToGrid w:val="0"/>
                <w:kern w:val="0"/>
                <w:szCs w:val="21"/>
              </w:rPr>
            </w:pPr>
            <w:r>
              <w:rPr>
                <w:snapToGrid w:val="0"/>
                <w:kern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adjustRightInd w:val="0"/>
              <w:snapToGrid w:val="0"/>
              <w:spacing w:line="0" w:lineRule="atLeast"/>
              <w:rPr>
                <w:snapToGrid w:val="0"/>
                <w:kern w:val="0"/>
                <w:szCs w:val="21"/>
              </w:rPr>
            </w:pPr>
            <w:r>
              <w:rPr>
                <w:snapToGrid w:val="0"/>
                <w:kern w:val="0"/>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kern w:val="0"/>
                <w:szCs w:val="21"/>
              </w:rPr>
            </w:pPr>
            <w:r>
              <w:rPr>
                <w:snapToGrid w:val="0"/>
                <w:kern w:val="0"/>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3.6.1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投标文件相关信息的核查</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本条修改为：</w:t>
            </w:r>
          </w:p>
          <w:p>
            <w:pPr>
              <w:adjustRightInd w:val="0"/>
              <w:snapToGrid w:val="0"/>
              <w:spacing w:line="0" w:lineRule="atLeast"/>
              <w:rPr>
                <w:snapToGrid w:val="0"/>
                <w:kern w:val="0"/>
                <w:szCs w:val="21"/>
              </w:rPr>
            </w:pPr>
            <w:r>
              <w:rPr>
                <w:snapToGrid w:val="0"/>
                <w:kern w:val="0"/>
                <w:szCs w:val="21"/>
              </w:rPr>
              <w:t>在评标过程中，评标委员会应对以下信息进行查询：</w:t>
            </w:r>
          </w:p>
          <w:p>
            <w:pPr>
              <w:adjustRightInd w:val="0"/>
              <w:snapToGrid w:val="0"/>
              <w:spacing w:line="0" w:lineRule="atLeast"/>
              <w:rPr>
                <w:snapToGrid w:val="0"/>
                <w:kern w:val="0"/>
                <w:szCs w:val="21"/>
              </w:rPr>
            </w:pPr>
            <w:r>
              <w:rPr>
                <w:snapToGrid w:val="0"/>
                <w:kern w:val="0"/>
                <w:szCs w:val="21"/>
              </w:rPr>
              <w:t>（1）投标人名称和资质与“全国公路建设市场信用信息管理系统（http</w:t>
            </w:r>
            <w:r>
              <w:rPr>
                <w:rFonts w:hint="eastAsia"/>
                <w:snapToGrid w:val="0"/>
                <w:kern w:val="0"/>
                <w:szCs w:val="21"/>
              </w:rPr>
              <w:t>:</w:t>
            </w:r>
            <w:r>
              <w:rPr>
                <w:snapToGrid w:val="0"/>
                <w:kern w:val="0"/>
                <w:szCs w:val="21"/>
              </w:rPr>
              <w:t>//glxy.mot.gov.cn/）”的复核结果一致</w:t>
            </w:r>
            <w:r>
              <w:rPr>
                <w:rFonts w:hint="eastAsia"/>
                <w:snapToGrid w:val="0"/>
                <w:kern w:val="0"/>
                <w:szCs w:val="21"/>
              </w:rPr>
              <w:t>（房屋建筑工程监理资质不适用）</w:t>
            </w:r>
            <w:r>
              <w:rPr>
                <w:snapToGrid w:val="0"/>
                <w:kern w:val="0"/>
                <w:szCs w:val="21"/>
              </w:rPr>
              <w:t>；</w:t>
            </w:r>
          </w:p>
          <w:p>
            <w:pPr>
              <w:adjustRightInd w:val="0"/>
              <w:snapToGrid w:val="0"/>
              <w:spacing w:line="0" w:lineRule="atLeast"/>
              <w:rPr>
                <w:snapToGrid w:val="0"/>
                <w:kern w:val="0"/>
                <w:szCs w:val="21"/>
              </w:rPr>
            </w:pPr>
            <w:r>
              <w:rPr>
                <w:snapToGrid w:val="0"/>
                <w:kern w:val="0"/>
                <w:szCs w:val="21"/>
              </w:rPr>
              <w:t>（2）投标人的类似项</w:t>
            </w:r>
            <w:bookmarkStart w:id="41" w:name="_GoBack"/>
            <w:r>
              <w:rPr>
                <w:snapToGrid w:val="0"/>
                <w:kern w:val="0"/>
                <w:szCs w:val="21"/>
              </w:rPr>
              <w:t>目业绩详细信息网页截图的内容与“全国公路建设市场信用信息管理系统（http</w:t>
            </w:r>
            <w:r>
              <w:rPr>
                <w:rFonts w:hint="eastAsia"/>
                <w:snapToGrid w:val="0"/>
                <w:kern w:val="0"/>
                <w:szCs w:val="21"/>
              </w:rPr>
              <w:t>:</w:t>
            </w:r>
            <w:r>
              <w:rPr>
                <w:snapToGrid w:val="0"/>
                <w:kern w:val="0"/>
                <w:szCs w:val="21"/>
              </w:rPr>
              <w:t>//glxy.mot.gov.cn/）”的复核结果一致</w:t>
            </w:r>
            <w:r>
              <w:rPr>
                <w:rFonts w:hint="eastAsia"/>
                <w:snapToGrid w:val="0"/>
                <w:kern w:val="0"/>
                <w:szCs w:val="21"/>
              </w:rPr>
              <w:t>（房屋建筑工程施工监理业绩不适用）</w:t>
            </w:r>
            <w:r>
              <w:rPr>
                <w:snapToGrid w:val="0"/>
                <w:kern w:val="0"/>
                <w:szCs w:val="21"/>
              </w:rPr>
              <w:t>；</w:t>
            </w:r>
          </w:p>
          <w:p>
            <w:pPr>
              <w:adjustRightInd w:val="0"/>
              <w:snapToGrid w:val="0"/>
              <w:spacing w:line="0" w:lineRule="atLeast"/>
              <w:rPr>
                <w:snapToGrid w:val="0"/>
                <w:kern w:val="0"/>
                <w:szCs w:val="21"/>
              </w:rPr>
            </w:pPr>
            <w:r>
              <w:rPr>
                <w:snapToGrid w:val="0"/>
                <w:kern w:val="0"/>
                <w:szCs w:val="21"/>
              </w:rPr>
              <w:t>（3）所附</w:t>
            </w:r>
            <w:r>
              <w:rPr>
                <w:rFonts w:hint="eastAsia"/>
                <w:snapToGrid w:val="0"/>
                <w:kern w:val="0"/>
                <w:szCs w:val="21"/>
              </w:rPr>
              <w:t>总监理工程师</w:t>
            </w:r>
            <w:r>
              <w:rPr>
                <w:snapToGrid w:val="0"/>
                <w:kern w:val="0"/>
                <w:szCs w:val="21"/>
              </w:rPr>
              <w:t>业绩的网页截图复印件与“全国公路建设市场信用信息管理系统（</w:t>
            </w:r>
            <w:r>
              <w:fldChar w:fldCharType="begin"/>
            </w:r>
            <w:r>
              <w:instrText xml:space="preserve"> HYPERLINK "http://glxy" </w:instrText>
            </w:r>
            <w:r>
              <w:fldChar w:fldCharType="separate"/>
            </w:r>
            <w:r>
              <w:rPr>
                <w:rStyle w:val="8"/>
                <w:snapToGrid w:val="0"/>
                <w:kern w:val="0"/>
                <w:szCs w:val="21"/>
              </w:rPr>
              <w:t>http</w:t>
            </w:r>
            <w:r>
              <w:rPr>
                <w:rStyle w:val="8"/>
                <w:rFonts w:hint="eastAsia"/>
                <w:snapToGrid w:val="0"/>
                <w:kern w:val="0"/>
                <w:szCs w:val="21"/>
              </w:rPr>
              <w:t>:</w:t>
            </w:r>
            <w:r>
              <w:rPr>
                <w:rStyle w:val="8"/>
                <w:snapToGrid w:val="0"/>
                <w:kern w:val="0"/>
                <w:szCs w:val="21"/>
              </w:rPr>
              <w:t>//glxy</w:t>
            </w:r>
            <w:r>
              <w:rPr>
                <w:rStyle w:val="8"/>
                <w:snapToGrid w:val="0"/>
                <w:kern w:val="0"/>
                <w:szCs w:val="21"/>
              </w:rPr>
              <w:fldChar w:fldCharType="end"/>
            </w:r>
            <w:r>
              <w:rPr>
                <w:snapToGrid w:val="0"/>
                <w:kern w:val="0"/>
                <w:szCs w:val="21"/>
              </w:rPr>
              <w:t>.mot.gov.cn/）”的复核结果一致；</w:t>
            </w:r>
          </w:p>
          <w:p>
            <w:pPr>
              <w:autoSpaceDE w:val="0"/>
              <w:autoSpaceDN w:val="0"/>
              <w:adjustRightInd w:val="0"/>
              <w:snapToGrid w:val="0"/>
              <w:spacing w:line="0" w:lineRule="atLeast"/>
              <w:rPr>
                <w:snapToGrid w:val="0"/>
                <w:kern w:val="0"/>
                <w:szCs w:val="21"/>
              </w:rPr>
            </w:pPr>
            <w:r>
              <w:rPr>
                <w:snapToGrid w:val="0"/>
                <w:kern w:val="0"/>
                <w:szCs w:val="21"/>
              </w:rPr>
              <w:t>（4）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adjustRightInd w:val="0"/>
              <w:snapToGrid w:val="0"/>
              <w:spacing w:line="0" w:lineRule="atLeast"/>
              <w:rPr>
                <w:snapToGrid w:val="0"/>
                <w:kern w:val="0"/>
                <w:szCs w:val="21"/>
              </w:rPr>
            </w:pPr>
            <w:r>
              <w:rPr>
                <w:snapToGrid w:val="0"/>
                <w:kern w:val="0"/>
                <w:szCs w:val="21"/>
              </w:rPr>
              <w:t>前述（1）、（2）、（3）、（4）项如投标人未提供相关网页截图或所附截图与复核结果不一致导致不能满足资格评审要求的，评标委员会应否决其投标。</w:t>
            </w:r>
          </w:p>
          <w:p>
            <w:pPr>
              <w:adjustRightInd w:val="0"/>
              <w:snapToGrid w:val="0"/>
              <w:spacing w:line="0" w:lineRule="atLeast"/>
              <w:rPr>
                <w:snapToGrid w:val="0"/>
                <w:kern w:val="0"/>
                <w:szCs w:val="21"/>
              </w:rPr>
            </w:pPr>
            <w:r>
              <w:rPr>
                <w:snapToGrid w:val="0"/>
                <w:kern w:val="0"/>
                <w:szCs w:val="21"/>
              </w:rPr>
              <w:t>投标人应当及时核查并更新政府网站公开的相关信息，并承担由于信息填报不完整或者不准确等原因导致投标可能被否决的后果。相关信息由投标</w:t>
            </w:r>
            <w:bookmarkEnd w:id="41"/>
            <w:r>
              <w:rPr>
                <w:snapToGrid w:val="0"/>
                <w:kern w:val="0"/>
                <w:szCs w:val="21"/>
              </w:rPr>
              <w:t>人填报的，其真实性由投标人负责，经查证与事实不符的，视为投标过程中的弄虚作假为，按相关规定处理。</w:t>
            </w:r>
          </w:p>
          <w:p>
            <w:pPr>
              <w:adjustRightInd w:val="0"/>
              <w:snapToGrid w:val="0"/>
              <w:spacing w:line="0" w:lineRule="atLeast"/>
              <w:textAlignment w:val="baseline"/>
              <w:rPr>
                <w:snapToGrid w:val="0"/>
                <w:kern w:val="0"/>
                <w:szCs w:val="21"/>
              </w:rPr>
            </w:pPr>
            <w:r>
              <w:rPr>
                <w:snapToGrid w:val="0"/>
                <w:kern w:val="0"/>
                <w:szCs w:val="21"/>
              </w:rPr>
              <w:t>（5）评标委员会在评标时按照投标人提供的验证方式对电子保函或电子保证保险进行验证。如投标人未提供电子保函或电子保证保险的验证方式，或根据提供的验证方式无法核实的，评标委员会应否决其投标。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pPr>
        <w:adjustRightInd w:val="0"/>
        <w:snapToGrid w:val="0"/>
        <w:spacing w:line="360" w:lineRule="auto"/>
        <w:jc w:val="center"/>
        <w:textAlignment w:val="baseline"/>
        <w:rPr>
          <w:rFonts w:ascii="宋体" w:hAnsi="宋体"/>
          <w:b/>
          <w:bCs/>
          <w:snapToGrid w:val="0"/>
          <w:kern w:val="0"/>
          <w:sz w:val="24"/>
        </w:rPr>
      </w:pPr>
      <w:r>
        <w:rPr>
          <w:rFonts w:ascii="宋体" w:hAnsi="宋体"/>
          <w:b/>
          <w:bCs/>
          <w:snapToGrid w:val="0"/>
          <w:kern w:val="0"/>
          <w:sz w:val="24"/>
        </w:rPr>
        <w:br w:type="page"/>
      </w:r>
    </w:p>
    <w:tbl>
      <w:tblPr>
        <w:tblStyle w:val="6"/>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779"/>
        <w:gridCol w:w="802"/>
        <w:gridCol w:w="1824"/>
        <w:gridCol w:w="785"/>
        <w:gridCol w:w="1301"/>
        <w:gridCol w:w="23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pct"/>
          <w:trHeight w:val="283" w:hRule="atLeast"/>
          <w:tblHeader/>
          <w:jc w:val="center"/>
        </w:trPr>
        <w:tc>
          <w:tcPr>
            <w:tcW w:w="4993" w:type="pct"/>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bookmarkStart w:id="40" w:name="_Hlk136416415"/>
            <w:r>
              <w:rPr>
                <w:rFonts w:hint="eastAsia" w:ascii="宋体" w:hAnsi="宋体"/>
                <w:b/>
                <w:bCs/>
                <w:snapToGrid w:val="0"/>
                <w:kern w:val="0"/>
                <w:sz w:val="24"/>
              </w:rPr>
              <w:t>评分因素与权重分值、评分标准</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2884" w:type="pct"/>
            <w:gridSpan w:val="5"/>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评分因素与权重分值</w:t>
            </w:r>
          </w:p>
        </w:tc>
        <w:tc>
          <w:tcPr>
            <w:tcW w:w="2109" w:type="pct"/>
            <w:gridSpan w:val="2"/>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r>
              <w:rPr>
                <w:snapToGrid w:val="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条款号</w:t>
            </w:r>
          </w:p>
        </w:tc>
        <w:tc>
          <w:tcPr>
            <w:tcW w:w="453"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因素</w:t>
            </w:r>
          </w:p>
        </w:tc>
        <w:tc>
          <w:tcPr>
            <w:tcW w:w="46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评分因素权重分值</w:t>
            </w:r>
          </w:p>
        </w:tc>
        <w:tc>
          <w:tcPr>
            <w:tcW w:w="1060"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Style w:val="11"/>
                <w:rFonts w:hint="default" w:ascii="Times New Roman" w:hAnsi="Times New Roman" w:cs="Times New Roman"/>
                <w:snapToGrid w:val="0"/>
                <w:color w:val="auto"/>
                <w:kern w:val="0"/>
              </w:rPr>
              <w:t>各评分因素细分项</w:t>
            </w: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分值</w:t>
            </w:r>
          </w:p>
        </w:tc>
        <w:tc>
          <w:tcPr>
            <w:tcW w:w="2109"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2.2.4（1）</w:t>
            </w:r>
          </w:p>
        </w:tc>
        <w:tc>
          <w:tcPr>
            <w:tcW w:w="453"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技术</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建议书</w:t>
            </w:r>
          </w:p>
        </w:tc>
        <w:tc>
          <w:tcPr>
            <w:tcW w:w="46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35</w:t>
            </w:r>
            <w:r>
              <w:rPr>
                <w:rFonts w:ascii="Times New Roman"/>
                <w:snapToGrid w:val="0"/>
                <w:kern w:val="0"/>
              </w:rPr>
              <w:t>分</w:t>
            </w: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kern w:val="0"/>
              </w:rPr>
              <w:t>监理大纲和措施</w:t>
            </w:r>
          </w:p>
        </w:tc>
        <w:tc>
          <w:tcPr>
            <w:tcW w:w="45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20</w:t>
            </w:r>
            <w:r>
              <w:rPr>
                <w:rFonts w:ascii="Times New Roman"/>
                <w:snapToGrid w:val="0"/>
                <w:kern w:val="0"/>
              </w:rPr>
              <w:t>分</w:t>
            </w:r>
          </w:p>
        </w:tc>
        <w:tc>
          <w:tcPr>
            <w:tcW w:w="756"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r>
              <w:rPr>
                <w:snapToGrid w:val="0"/>
                <w:kern w:val="0"/>
                <w:szCs w:val="21"/>
              </w:rPr>
              <w:t>对本招标项目监理工作范围和任务理解</w:t>
            </w:r>
          </w:p>
          <w:p>
            <w:pPr>
              <w:widowControl/>
              <w:adjustRightInd w:val="0"/>
              <w:snapToGrid w:val="0"/>
              <w:spacing w:line="0" w:lineRule="atLeast"/>
              <w:jc w:val="center"/>
              <w:rPr>
                <w:snapToGrid w:val="0"/>
                <w:kern w:val="0"/>
                <w:szCs w:val="21"/>
              </w:rPr>
            </w:pPr>
            <w:r>
              <w:rPr>
                <w:snapToGrid w:val="0"/>
                <w:kern w:val="0"/>
                <w:szCs w:val="21"/>
              </w:rPr>
              <w:t>（</w:t>
            </w:r>
            <w:r>
              <w:rPr>
                <w:rFonts w:hint="eastAsia"/>
                <w:snapToGrid w:val="0"/>
                <w:kern w:val="0"/>
                <w:szCs w:val="21"/>
              </w:rPr>
              <w:t>5</w:t>
            </w:r>
            <w:r>
              <w:rPr>
                <w:snapToGrid w:val="0"/>
                <w:kern w:val="0"/>
                <w:szCs w:val="21"/>
              </w:rPr>
              <w:t>分）</w:t>
            </w:r>
          </w:p>
        </w:tc>
        <w:tc>
          <w:tcPr>
            <w:tcW w:w="1360" w:type="pct"/>
            <w:gridSpan w:val="2"/>
            <w:tcBorders>
              <w:top w:val="single" w:color="auto" w:sz="4" w:space="0"/>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理解准确、全面、合理，符合项目要求，得4.0（不含）-5.0分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理解较准确、合理，得 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理解基本准确，得3.0分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lang w:val="en-US"/>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监理方案及</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措施</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w:t>
            </w:r>
            <w:r>
              <w:rPr>
                <w:rFonts w:hint="eastAsia" w:ascii="Times New Roman"/>
                <w:snapToGrid w:val="0"/>
                <w:kern w:val="0"/>
              </w:rPr>
              <w:t>5</w:t>
            </w:r>
            <w:r>
              <w:rPr>
                <w:rFonts w:ascii="Times New Roman"/>
                <w:snapToGrid w:val="0"/>
                <w:kern w:val="0"/>
              </w:rPr>
              <w:t>分）</w:t>
            </w: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方案详尽，措施具体全面合理，可行性强，得4.0（不含） -5</w:t>
            </w:r>
            <w:r>
              <w:rPr>
                <w:snapToGrid w:val="0"/>
                <w:kern w:val="0"/>
                <w:sz w:val="18"/>
                <w:szCs w:val="18"/>
              </w:rPr>
              <w:t>.0</w:t>
            </w:r>
            <w:r>
              <w:rPr>
                <w:rFonts w:hint="eastAsia"/>
                <w:snapToGrid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方案较详尽，措施合理，可行性较好，得3.0（不含） -4</w:t>
            </w:r>
            <w:r>
              <w:rPr>
                <w:snapToGrid w:val="0"/>
                <w:kern w:val="0"/>
                <w:sz w:val="18"/>
                <w:szCs w:val="18"/>
              </w:rPr>
              <w:t>.0</w:t>
            </w:r>
            <w:r>
              <w:rPr>
                <w:rFonts w:hint="eastAsia"/>
                <w:snapToGrid w:val="0"/>
                <w:kern w:val="0"/>
                <w:sz w:val="18"/>
                <w:szCs w:val="18"/>
              </w:rPr>
              <w:t>（含）分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方案一般，措施基本合理，可行性一般，得3.0分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lang w:val="en-US"/>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监理工作</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程序</w:t>
            </w:r>
          </w:p>
          <w:p>
            <w:pPr>
              <w:widowControl/>
              <w:adjustRightInd w:val="0"/>
              <w:snapToGrid w:val="0"/>
              <w:spacing w:line="0" w:lineRule="atLeast"/>
              <w:jc w:val="center"/>
              <w:rPr>
                <w:snapToGrid w:val="0"/>
                <w:kern w:val="0"/>
                <w:szCs w:val="21"/>
              </w:rPr>
            </w:pPr>
            <w:r>
              <w:rPr>
                <w:snapToGrid w:val="0"/>
                <w:kern w:val="0"/>
                <w:szCs w:val="21"/>
              </w:rPr>
              <w:t>（</w:t>
            </w:r>
            <w:r>
              <w:rPr>
                <w:rFonts w:hint="eastAsia"/>
                <w:snapToGrid w:val="0"/>
                <w:kern w:val="0"/>
                <w:szCs w:val="21"/>
              </w:rPr>
              <w:t>10</w:t>
            </w:r>
            <w:r>
              <w:rPr>
                <w:snapToGrid w:val="0"/>
                <w:kern w:val="0"/>
                <w:szCs w:val="21"/>
              </w:rPr>
              <w:t>分）</w:t>
            </w: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内容齐全，阶段划分合理、正确，可实施性强，得8.0（不含）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内容较齐全，阶段划分较合理，可实施性较好，得6.0（不含）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c>
          <w:tcPr>
            <w:tcW w:w="1360"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内容基本齐全，阶段划分基本合理，可实施性一般，得6.0分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kern w:val="0"/>
              </w:rPr>
              <w:t>本工程监理工作的重点与难点分析</w:t>
            </w:r>
          </w:p>
        </w:tc>
        <w:tc>
          <w:tcPr>
            <w:tcW w:w="45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10</w:t>
            </w:r>
            <w:r>
              <w:rPr>
                <w:rFonts w:ascii="Times New Roman"/>
                <w:snapToGrid w:val="0"/>
                <w:kern w:val="0"/>
              </w:rPr>
              <w:t>分</w:t>
            </w: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分析透彻，对重点、难点把握准确；处理措施科学合理，有效可行，得8.0（不含）-10.0分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分析较透彻，对重点、难点把握较准确；处理措施合理，可行，得6.0（不含）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分析基本到位，对重点、难点把握一般；处理措施基本合理，基本可行，得6.0分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kern w:val="0"/>
              </w:rPr>
              <w:t>对本工程的建议</w:t>
            </w:r>
          </w:p>
        </w:tc>
        <w:tc>
          <w:tcPr>
            <w:tcW w:w="456"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5</w:t>
            </w:r>
            <w:r>
              <w:rPr>
                <w:rFonts w:ascii="Times New Roman"/>
                <w:snapToGrid w:val="0"/>
                <w:kern w:val="0"/>
              </w:rPr>
              <w:t>分</w:t>
            </w: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建议具体全面、可靠、合理，可实施性强，得4.0（不含）-5.0分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建议具体较全面、较合理，可实施性较好，得3.0（不含）-4.0（含）分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建议基本合理，可实施性一般，得3.0分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pct"/>
          <w:trHeight w:val="283" w:hRule="atLeast"/>
          <w:tblHeader/>
          <w:jc w:val="center"/>
        </w:trPr>
        <w:tc>
          <w:tcPr>
            <w:tcW w:w="449"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2.2.4（2）</w:t>
            </w:r>
          </w:p>
        </w:tc>
        <w:tc>
          <w:tcPr>
            <w:tcW w:w="453"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主要</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人员</w:t>
            </w:r>
          </w:p>
        </w:tc>
        <w:tc>
          <w:tcPr>
            <w:tcW w:w="46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25</w:t>
            </w:r>
            <w:r>
              <w:rPr>
                <w:rFonts w:ascii="Times New Roman"/>
                <w:snapToGrid w:val="0"/>
                <w:kern w:val="0"/>
              </w:rPr>
              <w:t>分</w:t>
            </w: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kern w:val="0"/>
              </w:rPr>
              <w:t>总监理工程师</w:t>
            </w: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15</w:t>
            </w:r>
            <w:r>
              <w:rPr>
                <w:rFonts w:ascii="Times New Roman"/>
                <w:snapToGrid w:val="0"/>
                <w:kern w:val="0"/>
              </w:rPr>
              <w:t>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满足附录4资格审查条件（总监理工程师最低要求）的，得15分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10分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近5年内（2018年8月1日至今，以工程竣（交）工时间为准）每增加1项做为总监理工程师或驻地监理工程师的新建或改（扩）建高速公路工程监理业绩加10分，最多加10分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2.2.4（3）</w:t>
            </w:r>
          </w:p>
        </w:tc>
        <w:tc>
          <w:tcPr>
            <w:tcW w:w="453"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评标价</w:t>
            </w:r>
          </w:p>
        </w:tc>
        <w:tc>
          <w:tcPr>
            <w:tcW w:w="466"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10</w:t>
            </w:r>
            <w:r>
              <w:rPr>
                <w:rFonts w:ascii="Times New Roman"/>
                <w:snapToGrid w:val="0"/>
                <w:kern w:val="0"/>
              </w:rPr>
              <w:t>分</w:t>
            </w:r>
          </w:p>
        </w:tc>
        <w:tc>
          <w:tcPr>
            <w:tcW w:w="3625" w:type="pct"/>
            <w:gridSpan w:val="4"/>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textAlignment w:val="baseline"/>
              <w:rPr>
                <w:rFonts w:ascii="Times New Roman"/>
                <w:snapToGrid w:val="0"/>
                <w:kern w:val="0"/>
              </w:rPr>
            </w:pPr>
            <w:r>
              <w:rPr>
                <w:rFonts w:ascii="Times New Roman"/>
                <w:snapToGrid w:val="0"/>
                <w:kern w:val="0"/>
              </w:rPr>
              <w:t>评标价得分计算公式示例：</w:t>
            </w:r>
          </w:p>
          <w:p>
            <w:pPr>
              <w:pStyle w:val="5"/>
              <w:adjustRightInd w:val="0"/>
              <w:snapToGrid w:val="0"/>
              <w:spacing w:line="0" w:lineRule="atLeast"/>
              <w:textAlignment w:val="baseline"/>
              <w:rPr>
                <w:rFonts w:ascii="Times New Roman"/>
                <w:snapToGrid w:val="0"/>
                <w:kern w:val="0"/>
              </w:rPr>
            </w:pPr>
            <w:r>
              <w:rPr>
                <w:rFonts w:ascii="Times New Roman"/>
                <w:snapToGrid w:val="0"/>
                <w:kern w:val="0"/>
              </w:rPr>
              <w:t>（1）如果投标人的评标价＞评标基准价，则评标价得分=F-（投标人评标价-评标基准价）/评标基准价×100×E1；</w:t>
            </w:r>
          </w:p>
          <w:p>
            <w:pPr>
              <w:pStyle w:val="5"/>
              <w:adjustRightInd w:val="0"/>
              <w:snapToGrid w:val="0"/>
              <w:spacing w:line="0" w:lineRule="atLeast"/>
              <w:textAlignment w:val="baseline"/>
              <w:rPr>
                <w:rFonts w:ascii="Times New Roman"/>
                <w:snapToGrid w:val="0"/>
                <w:kern w:val="0"/>
              </w:rPr>
            </w:pPr>
            <w:r>
              <w:rPr>
                <w:rFonts w:ascii="Times New Roman"/>
                <w:snapToGrid w:val="0"/>
                <w:kern w:val="0"/>
              </w:rPr>
              <w:t>（2）如果投标人的评标价≤评标基准价，则评标价得分=F+（投标人评标价-评标基准价）/评标基准价×100×E2。</w:t>
            </w:r>
          </w:p>
          <w:p>
            <w:pPr>
              <w:widowControl/>
              <w:adjustRightInd w:val="0"/>
              <w:snapToGrid w:val="0"/>
              <w:spacing w:line="0" w:lineRule="atLeast"/>
              <w:rPr>
                <w:snapToGrid w:val="0"/>
                <w:kern w:val="0"/>
                <w:szCs w:val="21"/>
              </w:rPr>
            </w:pPr>
            <w:r>
              <w:rPr>
                <w:snapToGrid w:val="0"/>
                <w:kern w:val="0"/>
                <w:szCs w:val="21"/>
              </w:rPr>
              <w:t>其中，F=</w:t>
            </w:r>
            <w:r>
              <w:rPr>
                <w:rFonts w:hint="eastAsia"/>
                <w:snapToGrid w:val="0"/>
                <w:kern w:val="0"/>
                <w:szCs w:val="21"/>
                <w:u w:val="single"/>
              </w:rPr>
              <w:t>10</w:t>
            </w:r>
            <w:r>
              <w:rPr>
                <w:snapToGrid w:val="0"/>
                <w:kern w:val="0"/>
                <w:szCs w:val="21"/>
              </w:rPr>
              <w:t>；E1=0.2；E2=0.1；评标价最低得分为0分。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2.2.4（4）</w:t>
            </w:r>
          </w:p>
        </w:tc>
        <w:tc>
          <w:tcPr>
            <w:tcW w:w="453"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其他</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因素</w:t>
            </w:r>
          </w:p>
        </w:tc>
        <w:tc>
          <w:tcPr>
            <w:tcW w:w="466"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30</w:t>
            </w:r>
            <w:r>
              <w:rPr>
                <w:rFonts w:ascii="Times New Roman"/>
                <w:snapToGrid w:val="0"/>
                <w:kern w:val="0"/>
              </w:rPr>
              <w:t>分</w:t>
            </w:r>
          </w:p>
        </w:tc>
        <w:tc>
          <w:tcPr>
            <w:tcW w:w="1060" w:type="pct"/>
            <w:vMerge w:val="restar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kern w:val="0"/>
              </w:rPr>
              <w:t>业绩</w:t>
            </w: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18分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满足附录2资格审查条件（业绩最低要求）的，得1</w:t>
            </w:r>
            <w:r>
              <w:rPr>
                <w:snapToGrid w:val="0"/>
                <w:kern w:val="0"/>
                <w:sz w:val="18"/>
                <w:szCs w:val="18"/>
              </w:rPr>
              <w:t>8</w:t>
            </w:r>
            <w:r>
              <w:rPr>
                <w:rFonts w:hint="eastAsia"/>
                <w:snapToGrid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49"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6"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0" w:type="pct"/>
            <w:vMerge w:val="continue"/>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12</w:t>
            </w:r>
            <w:r>
              <w:rPr>
                <w:rFonts w:hint="eastAsia" w:ascii="Times New Roman"/>
                <w:snapToGrid w:val="0"/>
                <w:kern w:val="0"/>
              </w:rPr>
              <w:t>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kern w:val="0"/>
                <w:sz w:val="18"/>
                <w:szCs w:val="18"/>
              </w:rPr>
            </w:pPr>
            <w:r>
              <w:rPr>
                <w:rFonts w:hint="eastAsia"/>
                <w:snapToGrid w:val="0"/>
                <w:kern w:val="0"/>
                <w:sz w:val="18"/>
                <w:szCs w:val="18"/>
              </w:rPr>
              <w:t>近5年内（2018年8月1日至今，以工程竣（交）工时间为准）每增加1项满足附录2资格审查条件（业绩最低要求）的业绩加6分，最多加1</w:t>
            </w:r>
            <w:r>
              <w:rPr>
                <w:snapToGrid w:val="0"/>
                <w:kern w:val="0"/>
                <w:sz w:val="18"/>
                <w:szCs w:val="18"/>
              </w:rPr>
              <w:t>2</w:t>
            </w:r>
            <w:r>
              <w:rPr>
                <w:rFonts w:hint="eastAsia"/>
                <w:snapToGrid w:val="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pct"/>
          <w:trHeight w:val="283" w:hRule="atLeast"/>
          <w:tblHeader/>
          <w:jc w:val="center"/>
        </w:trPr>
        <w:tc>
          <w:tcPr>
            <w:tcW w:w="4993" w:type="pct"/>
            <w:gridSpan w:val="7"/>
            <w:tcBorders>
              <w:left w:val="single" w:color="auto" w:sz="4" w:space="0"/>
              <w:bottom w:val="single" w:color="auto" w:sz="4" w:space="0"/>
              <w:right w:val="single" w:color="auto" w:sz="4" w:space="0"/>
            </w:tcBorders>
            <w:vAlign w:val="center"/>
          </w:tcPr>
          <w:p>
            <w:pPr>
              <w:pStyle w:val="5"/>
              <w:adjustRightInd w:val="0"/>
              <w:snapToGrid w:val="0"/>
              <w:spacing w:line="0" w:lineRule="atLeast"/>
              <w:textAlignment w:val="baseline"/>
              <w:rPr>
                <w:rFonts w:ascii="Times New Roman"/>
                <w:snapToGrid w:val="0"/>
                <w:kern w:val="0"/>
              </w:rPr>
            </w:pPr>
            <w:r>
              <w:rPr>
                <w:rFonts w:ascii="Times New Roman"/>
                <w:snapToGrid w:val="0"/>
                <w:kern w:val="0"/>
              </w:rPr>
              <w:t>需要补充的其他内容：</w:t>
            </w:r>
            <w:r>
              <w:rPr>
                <w:rFonts w:hint="eastAsia" w:ascii="Times New Roman"/>
                <w:snapToGrid w:val="0"/>
                <w:kern w:val="0"/>
              </w:rPr>
              <w:t>无</w:t>
            </w:r>
          </w:p>
        </w:tc>
      </w:tr>
    </w:tbl>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ascii="Times New Roman"/>
          <w:snapToGrid w:val="0"/>
          <w:kern w:val="0"/>
          <w:sz w:val="24"/>
          <w:szCs w:val="24"/>
        </w:rPr>
        <w:t>注：</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ascii="Times New Roman"/>
          <w:snapToGrid w:val="0"/>
          <w:kern w:val="0"/>
          <w:sz w:val="24"/>
          <w:szCs w:val="24"/>
          <w:lang w:val="zh-CN"/>
        </w:rPr>
        <w:t>1、各评分因素得分以评标委员会各成员的打分平均值确定，保留2位小数。</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ascii="Times New Roman"/>
          <w:snapToGrid w:val="0"/>
          <w:kern w:val="0"/>
          <w:sz w:val="24"/>
          <w:szCs w:val="24"/>
        </w:rPr>
        <w:t>2、技术</w:t>
      </w:r>
      <w:r>
        <w:rPr>
          <w:rFonts w:ascii="Times New Roman"/>
          <w:snapToGrid w:val="0"/>
          <w:kern w:val="0"/>
          <w:sz w:val="24"/>
          <w:szCs w:val="24"/>
          <w:lang w:val="zh-CN"/>
        </w:rPr>
        <w:t>建议书</w:t>
      </w:r>
      <w:r>
        <w:rPr>
          <w:rFonts w:ascii="Times New Roman"/>
          <w:snapToGrid w:val="0"/>
          <w:kern w:val="0"/>
          <w:sz w:val="24"/>
          <w:szCs w:val="24"/>
        </w:rPr>
        <w:t>各评分因素细分项缺项，则该项得0分。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91F7D0E"/>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spacing w:line="540" w:lineRule="exact"/>
    </w:pPr>
    <w:rPr>
      <w:color w:val="FF0000"/>
    </w:rPr>
  </w:style>
  <w:style w:type="paragraph" w:styleId="5">
    <w:name w:val="Plain Text"/>
    <w:basedOn w:val="1"/>
    <w:qFormat/>
    <w:uiPriority w:val="0"/>
    <w:rPr>
      <w:rFonts w:ascii="宋体"/>
      <w:szCs w:val="21"/>
    </w:rPr>
  </w:style>
  <w:style w:type="character" w:styleId="8">
    <w:name w:val="Hyperlink"/>
    <w:qFormat/>
    <w:uiPriority w:val="99"/>
    <w:rPr>
      <w:color w:val="333333"/>
      <w:u w:val="none"/>
    </w:rPr>
  </w:style>
  <w:style w:type="character" w:customStyle="1" w:styleId="9">
    <w:name w:val="NormalCharacter"/>
    <w:qFormat/>
    <w:uiPriority w:val="0"/>
  </w:style>
  <w:style w:type="paragraph" w:customStyle="1" w:styleId="10">
    <w:name w:val="UserStyle_340"/>
    <w:basedOn w:val="1"/>
    <w:qFormat/>
    <w:uiPriority w:val="0"/>
    <w:pPr>
      <w:widowControl/>
      <w:spacing w:line="340" w:lineRule="exact"/>
      <w:jc w:val="center"/>
    </w:pPr>
    <w:rPr>
      <w:rFonts w:ascii="宋体" w:hAnsi="Calibri"/>
      <w:bCs/>
      <w:color w:val="000000"/>
      <w:kern w:val="0"/>
      <w:szCs w:val="21"/>
    </w:rPr>
  </w:style>
  <w:style w:type="character" w:customStyle="1" w:styleId="11">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2023-08-10T00:28:07Z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78724F35F4C14ABF86A21046069351B7</vt:lpwstr>
  </property>
</Properties>
</file>