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bCs/>
          <w:sz w:val="24"/>
          <w:szCs w:val="32"/>
          <w:shd w:val="clear" w:color="auto" w:fill="FFFFFF"/>
          <w:lang w:eastAsia="zh-CN"/>
        </w:rPr>
      </w:pPr>
      <w:bookmarkStart w:id="0" w:name="OLE_LINK1"/>
      <w:bookmarkStart w:id="1" w:name="_Toc519088324"/>
      <w:bookmarkStart w:id="8" w:name="_GoBack"/>
      <w:bookmarkEnd w:id="8"/>
    </w:p>
    <w:p>
      <w:pPr>
        <w:pStyle w:val="14"/>
        <w:spacing w:line="360" w:lineRule="auto"/>
        <w:ind w:left="0"/>
        <w:outlineLvl w:val="1"/>
        <w:rPr>
          <w:rFonts w:ascii="宋体" w:hAnsi="宋体" w:eastAsia="宋体"/>
          <w:bCs w:val="0"/>
          <w:sz w:val="28"/>
          <w:szCs w:val="36"/>
          <w:shd w:val="clear" w:color="auto" w:fill="FFFFFF"/>
          <w:lang w:eastAsia="zh-CN"/>
        </w:rPr>
      </w:pPr>
      <w:bookmarkStart w:id="2" w:name="_Toc136940439"/>
      <w:bookmarkStart w:id="3" w:name="_Toc136940559"/>
      <w:r>
        <w:rPr>
          <w:rFonts w:hint="eastAsia" w:ascii="宋体" w:hAnsi="宋体" w:eastAsia="宋体"/>
          <w:bCs w:val="0"/>
          <w:sz w:val="28"/>
          <w:szCs w:val="36"/>
          <w:shd w:val="clear" w:color="auto" w:fill="FFFFFF"/>
          <w:lang w:eastAsia="zh-CN"/>
        </w:rPr>
        <w:t>附件</w:t>
      </w:r>
      <w:r>
        <w:rPr>
          <w:rFonts w:ascii="宋体" w:hAnsi="宋体" w:eastAsia="宋体"/>
          <w:bCs w:val="0"/>
          <w:sz w:val="28"/>
          <w:szCs w:val="36"/>
          <w:shd w:val="clear" w:color="auto" w:fill="FFFFFF"/>
          <w:lang w:eastAsia="zh-CN"/>
        </w:rPr>
        <w:t>1</w:t>
      </w:r>
      <w:r>
        <w:rPr>
          <w:rFonts w:hint="eastAsia" w:ascii="宋体" w:hAnsi="宋体" w:eastAsia="宋体"/>
          <w:bCs w:val="0"/>
          <w:sz w:val="28"/>
          <w:szCs w:val="36"/>
          <w:shd w:val="clear" w:color="auto" w:fill="FFFFFF"/>
          <w:lang w:eastAsia="zh-CN"/>
        </w:rPr>
        <w:t>：资格审查条件</w:t>
      </w:r>
      <w:bookmarkEnd w:id="2"/>
      <w:bookmarkEnd w:id="3"/>
    </w:p>
    <w:p>
      <w:pPr>
        <w:pStyle w:val="16"/>
        <w:adjustRightInd w:val="0"/>
        <w:snapToGrid w:val="0"/>
        <w:jc w:val="center"/>
        <w:rPr>
          <w:rFonts w:ascii="宋体" w:hAnsi="宋体" w:eastAsia="宋体"/>
          <w:b/>
          <w:sz w:val="24"/>
          <w:szCs w:val="24"/>
          <w:shd w:val="clear" w:color="auto" w:fill="FFFFFF"/>
          <w:lang w:eastAsia="zh-CN"/>
        </w:rPr>
      </w:pPr>
      <w:bookmarkStart w:id="4" w:name="_Hlk44947073"/>
      <w:bookmarkStart w:id="5" w:name="_Toc524343453"/>
    </w:p>
    <w:p>
      <w:pPr>
        <w:pStyle w:val="16"/>
        <w:adjustRightInd w:val="0"/>
        <w:snapToGrid w:val="0"/>
        <w:spacing w:line="360" w:lineRule="auto"/>
        <w:jc w:val="center"/>
        <w:rPr>
          <w:rFonts w:ascii="宋体" w:hAnsi="宋体" w:eastAsia="宋体"/>
          <w:sz w:val="24"/>
          <w:szCs w:val="24"/>
          <w:shd w:val="clear" w:color="auto" w:fill="FFFFFF"/>
          <w:lang w:eastAsia="zh-CN"/>
        </w:rPr>
      </w:pPr>
      <w:r>
        <w:rPr>
          <w:rFonts w:hint="eastAsia" w:ascii="宋体" w:hAnsi="宋体" w:eastAsia="宋体"/>
          <w:b/>
          <w:sz w:val="24"/>
          <w:szCs w:val="24"/>
          <w:shd w:val="clear" w:color="auto" w:fill="FFFFFF"/>
          <w:lang w:eastAsia="zh-CN"/>
        </w:rPr>
        <w:t>附录</w:t>
      </w:r>
      <w:r>
        <w:rPr>
          <w:rFonts w:ascii="宋体" w:hAnsi="宋体" w:eastAsia="宋体"/>
          <w:b/>
          <w:sz w:val="24"/>
          <w:szCs w:val="24"/>
          <w:shd w:val="clear" w:color="auto" w:fill="FFFFFF"/>
          <w:lang w:eastAsia="zh-CN"/>
        </w:rPr>
        <w:t xml:space="preserve">1 </w:t>
      </w:r>
      <w:bookmarkEnd w:id="4"/>
      <w:r>
        <w:rPr>
          <w:rFonts w:ascii="宋体" w:hAnsi="宋体" w:eastAsia="宋体"/>
          <w:b/>
          <w:sz w:val="24"/>
          <w:szCs w:val="24"/>
          <w:shd w:val="clear" w:color="auto" w:fill="FFFFFF"/>
          <w:lang w:eastAsia="zh-CN"/>
        </w:rPr>
        <w:t xml:space="preserve"> </w:t>
      </w:r>
      <w:r>
        <w:rPr>
          <w:rFonts w:hint="eastAsia" w:ascii="宋体" w:hAnsi="宋体" w:eastAsia="宋体"/>
          <w:b/>
          <w:sz w:val="24"/>
          <w:szCs w:val="24"/>
          <w:shd w:val="clear" w:color="auto" w:fill="FFFFFF"/>
          <w:lang w:eastAsia="zh-CN"/>
        </w:rPr>
        <w:t>资格审查条件</w:t>
      </w:r>
      <w:r>
        <w:rPr>
          <w:rFonts w:ascii="宋体" w:hAnsi="宋体" w:eastAsia="宋体"/>
          <w:b/>
          <w:sz w:val="24"/>
          <w:szCs w:val="24"/>
          <w:shd w:val="clear" w:color="auto" w:fill="FFFFFF"/>
          <w:lang w:eastAsia="zh-CN"/>
        </w:rPr>
        <w:t>(</w:t>
      </w:r>
      <w:r>
        <w:rPr>
          <w:rFonts w:hint="eastAsia" w:ascii="宋体" w:hAnsi="宋体" w:eastAsia="宋体"/>
          <w:b/>
          <w:sz w:val="24"/>
          <w:szCs w:val="24"/>
          <w:shd w:val="clear" w:color="auto" w:fill="FFFFFF"/>
          <w:lang w:eastAsia="zh-CN"/>
        </w:rPr>
        <w:t>资质最低条件</w:t>
      </w:r>
      <w:r>
        <w:rPr>
          <w:rFonts w:ascii="宋体" w:hAnsi="宋体" w:eastAsia="宋体"/>
          <w:b/>
          <w:sz w:val="24"/>
          <w:szCs w:val="24"/>
          <w:shd w:val="clear" w:color="auto" w:fill="FFFFFF"/>
          <w:lang w:eastAsia="zh-CN"/>
        </w:rPr>
        <w:t>)</w:t>
      </w:r>
      <w:bookmarkEnd w:id="5"/>
    </w:p>
    <w:tbl>
      <w:tblPr>
        <w:tblStyle w:val="8"/>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blHeader/>
          <w:jc w:val="center"/>
        </w:trPr>
        <w:tc>
          <w:tcPr>
            <w:tcW w:w="9072" w:type="dxa"/>
            <w:vAlign w:val="center"/>
          </w:tcPr>
          <w:p>
            <w:pPr>
              <w:adjustRightInd w:val="0"/>
              <w:snapToGrid w:val="0"/>
              <w:spacing w:line="360" w:lineRule="auto"/>
              <w:jc w:val="center"/>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55" w:hRule="atLeast"/>
          <w:jc w:val="center"/>
        </w:trPr>
        <w:tc>
          <w:tcPr>
            <w:tcW w:w="9072" w:type="dxa"/>
            <w:vAlign w:val="center"/>
          </w:tcPr>
          <w:p>
            <w:pPr>
              <w:adjustRightInd w:val="0"/>
              <w:snapToGrid w:val="0"/>
              <w:spacing w:line="360" w:lineRule="auto"/>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1.投标人应为在中华人民共和国境内注册，能够独立承担民事责任，有供应能力的独立法人组织；</w:t>
            </w:r>
          </w:p>
          <w:p>
            <w:pPr>
              <w:adjustRightInd w:val="0"/>
              <w:snapToGrid w:val="0"/>
              <w:spacing w:line="360" w:lineRule="auto"/>
              <w:ind w:firstLine="480" w:firstLineChars="200"/>
              <w:jc w:val="both"/>
              <w:rPr>
                <w:rFonts w:ascii="宋体" w:hAnsi="宋体" w:eastAsia="宋体"/>
                <w:sz w:val="24"/>
                <w:szCs w:val="24"/>
                <w:shd w:val="clear" w:color="auto" w:fill="FFFFFF"/>
                <w:lang w:eastAsia="zh-CN"/>
              </w:rPr>
            </w:pPr>
            <w:r>
              <w:rPr>
                <w:rFonts w:hint="eastAsia" w:ascii="宋体" w:hAnsi="宋体" w:eastAsia="宋体"/>
                <w:sz w:val="24"/>
                <w:szCs w:val="24"/>
                <w:lang w:eastAsia="zh-CN"/>
              </w:rPr>
              <w:t>2.本次招标接受经销商投标。</w:t>
            </w:r>
          </w:p>
        </w:tc>
      </w:tr>
    </w:tbl>
    <w:p>
      <w:pPr>
        <w:pStyle w:val="16"/>
        <w:wordWrap w:val="0"/>
        <w:adjustRightInd w:val="0"/>
        <w:snapToGrid w:val="0"/>
        <w:spacing w:line="360" w:lineRule="auto"/>
        <w:jc w:val="center"/>
        <w:rPr>
          <w:rFonts w:ascii="宋体" w:hAnsi="宋体" w:eastAsia="宋体"/>
          <w:b/>
          <w:sz w:val="24"/>
          <w:szCs w:val="24"/>
          <w:shd w:val="clear" w:color="auto" w:fill="FFFFFF"/>
          <w:lang w:eastAsia="zh-CN"/>
        </w:rPr>
      </w:pPr>
    </w:p>
    <w:p>
      <w:pPr>
        <w:pStyle w:val="16"/>
        <w:wordWrap w:val="0"/>
        <w:adjustRightInd w:val="0"/>
        <w:snapToGrid w:val="0"/>
        <w:spacing w:line="360" w:lineRule="auto"/>
        <w:jc w:val="center"/>
        <w:rPr>
          <w:rFonts w:ascii="宋体" w:hAnsi="宋体" w:eastAsia="宋体"/>
          <w:b/>
          <w:sz w:val="24"/>
          <w:szCs w:val="24"/>
          <w:shd w:val="clear" w:color="auto" w:fill="FFFFFF"/>
          <w:lang w:eastAsia="zh-CN"/>
        </w:rPr>
      </w:pPr>
    </w:p>
    <w:p>
      <w:pPr>
        <w:pStyle w:val="16"/>
        <w:wordWrap w:val="0"/>
        <w:adjustRightInd w:val="0"/>
        <w:snapToGrid w:val="0"/>
        <w:spacing w:line="360" w:lineRule="auto"/>
        <w:jc w:val="center"/>
        <w:rPr>
          <w:rFonts w:ascii="宋体" w:hAnsi="宋体" w:eastAsia="宋体"/>
          <w:b/>
          <w:sz w:val="24"/>
          <w:szCs w:val="24"/>
          <w:shd w:val="clear" w:color="auto" w:fill="FFFFFF"/>
          <w:lang w:eastAsia="zh-CN"/>
        </w:rPr>
      </w:pPr>
    </w:p>
    <w:p>
      <w:pPr>
        <w:pStyle w:val="16"/>
        <w:adjustRightInd w:val="0"/>
        <w:snapToGrid w:val="0"/>
        <w:spacing w:line="360" w:lineRule="auto"/>
        <w:jc w:val="center"/>
        <w:rPr>
          <w:rFonts w:ascii="宋体" w:hAnsi="宋体" w:eastAsia="宋体"/>
          <w:b/>
          <w:sz w:val="24"/>
          <w:szCs w:val="24"/>
          <w:shd w:val="clear" w:color="auto" w:fill="FFFFFF"/>
          <w:lang w:eastAsia="zh-CN"/>
        </w:rPr>
      </w:pPr>
      <w:bookmarkStart w:id="6" w:name="_Toc524343454"/>
      <w:r>
        <w:rPr>
          <w:rFonts w:hint="eastAsia" w:ascii="宋体" w:hAnsi="宋体" w:eastAsia="宋体"/>
          <w:b/>
          <w:sz w:val="24"/>
          <w:szCs w:val="24"/>
          <w:shd w:val="clear" w:color="auto" w:fill="FFFFFF"/>
          <w:lang w:eastAsia="zh-CN"/>
        </w:rPr>
        <w:t>附录</w:t>
      </w:r>
      <w:r>
        <w:rPr>
          <w:rFonts w:ascii="宋体" w:hAnsi="宋体" w:eastAsia="宋体"/>
          <w:b/>
          <w:sz w:val="24"/>
          <w:szCs w:val="24"/>
          <w:shd w:val="clear" w:color="auto" w:fill="FFFFFF"/>
          <w:lang w:eastAsia="zh-CN"/>
        </w:rPr>
        <w:t xml:space="preserve">2  </w:t>
      </w:r>
      <w:bookmarkEnd w:id="6"/>
      <w:r>
        <w:rPr>
          <w:rFonts w:hint="eastAsia" w:ascii="宋体" w:hAnsi="宋体" w:eastAsia="宋体"/>
          <w:b/>
          <w:sz w:val="24"/>
          <w:szCs w:val="24"/>
          <w:shd w:val="clear" w:color="auto" w:fill="FFFFFF"/>
          <w:lang w:eastAsia="zh-CN"/>
        </w:rPr>
        <w:t>信誉审查条件</w:t>
      </w:r>
      <w:r>
        <w:rPr>
          <w:rFonts w:ascii="宋体" w:hAnsi="宋体" w:eastAsia="宋体"/>
          <w:b/>
          <w:sz w:val="24"/>
          <w:szCs w:val="24"/>
          <w:shd w:val="clear" w:color="auto" w:fill="FFFFFF"/>
          <w:lang w:eastAsia="zh-CN"/>
        </w:rPr>
        <w:t>(</w:t>
      </w:r>
      <w:r>
        <w:rPr>
          <w:rFonts w:hint="eastAsia" w:ascii="宋体" w:hAnsi="宋体" w:eastAsia="宋体"/>
          <w:b/>
          <w:sz w:val="24"/>
          <w:szCs w:val="24"/>
          <w:shd w:val="clear" w:color="auto" w:fill="FFFFFF"/>
          <w:lang w:eastAsia="zh-CN"/>
        </w:rPr>
        <w:t>信誉最低要求</w:t>
      </w:r>
      <w:r>
        <w:rPr>
          <w:rFonts w:ascii="宋体" w:hAnsi="宋体" w:eastAsia="宋体"/>
          <w:b/>
          <w:sz w:val="24"/>
          <w:szCs w:val="24"/>
          <w:shd w:val="clear" w:color="auto" w:fill="FFFFFF"/>
          <w:lang w:eastAsia="zh-CN"/>
        </w:rPr>
        <w:t>)</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pPr>
              <w:adjustRightInd w:val="0"/>
              <w:snapToGrid w:val="0"/>
              <w:spacing w:line="360" w:lineRule="auto"/>
              <w:jc w:val="center"/>
              <w:rPr>
                <w:rFonts w:ascii="宋体" w:hAnsi="宋体" w:eastAsia="宋体"/>
                <w:b/>
                <w:sz w:val="24"/>
                <w:szCs w:val="24"/>
                <w:shd w:val="clear" w:color="auto" w:fill="FFFFFF"/>
              </w:rPr>
            </w:pPr>
            <w:r>
              <w:rPr>
                <w:rFonts w:hint="eastAsia" w:ascii="宋体" w:hAnsi="宋体" w:eastAsia="宋体"/>
                <w:b/>
                <w:sz w:val="24"/>
                <w:szCs w:val="24"/>
                <w:shd w:val="clear" w:color="auto" w:fill="FFFFFF"/>
                <w:lang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pPr>
              <w:adjustRightInd w:val="0"/>
              <w:snapToGrid w:val="0"/>
              <w:spacing w:line="360" w:lineRule="auto"/>
              <w:ind w:firstLine="480" w:firstLineChars="200"/>
              <w:jc w:val="both"/>
              <w:rPr>
                <w:rFonts w:ascii="宋体" w:hAnsi="宋体" w:eastAsia="宋体"/>
                <w:b/>
                <w:sz w:val="24"/>
                <w:szCs w:val="24"/>
                <w:shd w:val="clear" w:color="auto" w:fill="FFFFFF"/>
                <w:lang w:eastAsia="zh-CN"/>
              </w:rPr>
            </w:pPr>
            <w:r>
              <w:rPr>
                <w:rFonts w:hint="eastAsia" w:ascii="宋体" w:hAnsi="宋体" w:eastAsia="宋体"/>
                <w:sz w:val="24"/>
                <w:szCs w:val="24"/>
                <w:shd w:val="clear" w:color="auto" w:fill="FFFFFF"/>
                <w:lang w:eastAsia="zh-CN"/>
              </w:rPr>
              <w:t>“信用中国”网站(http://www.creditchina.gov.cn/)中被列入失信被执行人、异常经营名录、税收违法黑名单、政府采购严重违法失信行为记录名单（均不含分公司）的、在全国企业信用信息公示系统（http://www.gsxt.gov.cn）中被列入严重违法失信名单（不含分公司）的投标人，不得参加投标。</w:t>
            </w:r>
          </w:p>
        </w:tc>
      </w:tr>
      <w:bookmarkEnd w:id="0"/>
      <w:bookmarkEnd w:id="1"/>
    </w:tbl>
    <w:p>
      <w:pPr>
        <w:widowControl/>
        <w:rPr>
          <w:rFonts w:ascii="宋体" w:hAnsi="宋体" w:eastAsia="宋体"/>
          <w:bCs/>
          <w:sz w:val="52"/>
          <w:szCs w:val="52"/>
          <w:lang w:eastAsia="zh-CN"/>
        </w:rPr>
      </w:pPr>
      <w:r>
        <w:rPr>
          <w:rFonts w:ascii="宋体" w:hAnsi="宋体" w:eastAsia="宋体"/>
          <w:b/>
          <w:sz w:val="52"/>
          <w:szCs w:val="52"/>
          <w:lang w:eastAsia="zh-CN"/>
        </w:rPr>
        <w:br w:type="page"/>
      </w:r>
    </w:p>
    <w:p>
      <w:pPr>
        <w:pStyle w:val="6"/>
        <w:ind w:left="0" w:firstLine="0"/>
        <w:rPr>
          <w:rFonts w:ascii="宋体" w:hAnsi="宋体" w:cs="宋体"/>
        </w:rPr>
      </w:pPr>
      <w:r>
        <w:rPr>
          <w:rFonts w:hint="eastAsia" w:ascii="宋体" w:hAnsi="宋体" w:cs="宋体"/>
        </w:rPr>
        <w:t>附件2：评标办法（综合评估法）</w:t>
      </w:r>
    </w:p>
    <w:p>
      <w:pPr>
        <w:autoSpaceDE w:val="0"/>
        <w:autoSpaceDN w:val="0"/>
        <w:adjustRightInd w:val="0"/>
        <w:snapToGrid w:val="0"/>
        <w:spacing w:line="360" w:lineRule="auto"/>
        <w:ind w:right="113"/>
        <w:rPr>
          <w:rFonts w:ascii="宋体" w:hAnsi="宋体" w:eastAsia="宋体" w:cs="宋体"/>
          <w:b/>
          <w:bCs/>
          <w:sz w:val="24"/>
          <w:szCs w:val="32"/>
        </w:rPr>
      </w:pPr>
      <w:r>
        <w:rPr>
          <w:rFonts w:hint="eastAsia" w:ascii="宋体" w:hAnsi="宋体" w:eastAsia="宋体" w:cs="宋体"/>
          <w:b/>
          <w:bCs/>
          <w:sz w:val="24"/>
          <w:szCs w:val="32"/>
        </w:rPr>
        <w:t>评标办法前附表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917"/>
        <w:gridCol w:w="1607"/>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blHeader/>
          <w:jc w:val="center"/>
        </w:trPr>
        <w:tc>
          <w:tcPr>
            <w:tcW w:w="2524" w:type="dxa"/>
            <w:gridSpan w:val="2"/>
            <w:vAlign w:val="center"/>
          </w:tcPr>
          <w:p>
            <w:pPr>
              <w:adjustRightInd w:val="0"/>
              <w:snapToGrid w:val="0"/>
              <w:jc w:val="center"/>
              <w:rPr>
                <w:rFonts w:ascii="宋体" w:hAnsi="宋体" w:eastAsia="宋体" w:cs="Times New Roman"/>
                <w:b/>
                <w:sz w:val="24"/>
                <w:szCs w:val="24"/>
              </w:rPr>
            </w:pPr>
            <w:r>
              <w:rPr>
                <w:rFonts w:ascii="宋体" w:hAnsi="宋体" w:eastAsia="宋体" w:cs="Times New Roman"/>
                <w:b/>
                <w:sz w:val="24"/>
                <w:szCs w:val="24"/>
              </w:rPr>
              <w:t>条款号</w:t>
            </w:r>
          </w:p>
        </w:tc>
        <w:tc>
          <w:tcPr>
            <w:tcW w:w="6547" w:type="dxa"/>
            <w:vAlign w:val="center"/>
          </w:tcPr>
          <w:p>
            <w:pPr>
              <w:adjustRightInd w:val="0"/>
              <w:snapToGrid w:val="0"/>
              <w:jc w:val="center"/>
              <w:rPr>
                <w:rFonts w:ascii="宋体" w:hAnsi="宋体" w:eastAsia="宋体" w:cs="Times New Roman"/>
                <w:b/>
                <w:sz w:val="24"/>
                <w:szCs w:val="24"/>
              </w:rPr>
            </w:pPr>
            <w:r>
              <w:rPr>
                <w:rFonts w:ascii="宋体" w:hAnsi="宋体" w:eastAsia="宋体" w:cs="Times New Roman"/>
                <w:b/>
                <w:sz w:val="24"/>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jc w:val="center"/>
              <w:rPr>
                <w:rFonts w:ascii="宋体" w:hAnsi="宋体" w:eastAsia="宋体" w:cs="Times New Roman"/>
                <w:b/>
                <w:sz w:val="24"/>
                <w:szCs w:val="24"/>
              </w:rPr>
            </w:pPr>
            <w:r>
              <w:rPr>
                <w:rFonts w:ascii="宋体" w:hAnsi="宋体" w:eastAsia="宋体" w:cs="Times New Roman"/>
                <w:bCs/>
                <w:sz w:val="24"/>
                <w:szCs w:val="24"/>
              </w:rPr>
              <w:t>1</w:t>
            </w:r>
          </w:p>
        </w:tc>
        <w:tc>
          <w:tcPr>
            <w:tcW w:w="1607" w:type="dxa"/>
            <w:vAlign w:val="center"/>
          </w:tcPr>
          <w:p>
            <w:pPr>
              <w:jc w:val="center"/>
              <w:rPr>
                <w:rFonts w:ascii="宋体" w:hAnsi="宋体" w:eastAsia="宋体" w:cs="Times New Roman"/>
                <w:b/>
                <w:sz w:val="24"/>
                <w:szCs w:val="24"/>
              </w:rPr>
            </w:pPr>
            <w:r>
              <w:rPr>
                <w:rFonts w:ascii="宋体" w:hAnsi="宋体" w:eastAsia="宋体" w:cs="Times New Roman"/>
                <w:sz w:val="24"/>
                <w:szCs w:val="24"/>
              </w:rPr>
              <w:t>评标办法</w:t>
            </w:r>
          </w:p>
        </w:tc>
        <w:tc>
          <w:tcPr>
            <w:tcW w:w="6547" w:type="dxa"/>
            <w:vAlign w:val="center"/>
          </w:tcPr>
          <w:p>
            <w:pPr>
              <w:rPr>
                <w:rFonts w:ascii="宋体" w:hAnsi="宋体" w:eastAsia="宋体"/>
                <w:sz w:val="24"/>
                <w:szCs w:val="24"/>
                <w:lang w:eastAsia="zh-CN"/>
              </w:rPr>
            </w:pPr>
            <w:r>
              <w:rPr>
                <w:rFonts w:ascii="宋体" w:hAnsi="宋体" w:eastAsia="宋体"/>
                <w:sz w:val="24"/>
                <w:szCs w:val="24"/>
                <w:lang w:eastAsia="zh-CN"/>
              </w:rPr>
              <w:t>本条修改为：</w:t>
            </w:r>
          </w:p>
          <w:p>
            <w:pPr>
              <w:rPr>
                <w:rFonts w:ascii="宋体" w:hAnsi="宋体" w:eastAsia="宋体"/>
                <w:sz w:val="24"/>
                <w:szCs w:val="24"/>
                <w:lang w:eastAsia="zh-CN"/>
              </w:rPr>
            </w:pPr>
            <w:r>
              <w:rPr>
                <w:rFonts w:ascii="宋体" w:hAnsi="宋体" w:eastAsia="宋体"/>
                <w:sz w:val="24"/>
                <w:szCs w:val="24"/>
                <w:lang w:eastAsia="zh-CN"/>
              </w:rPr>
              <w:t>本次评标采用综合评估法。评标委员会对满足招标文件实质性要求的投标文件，按照本章第2.2款规定的评分标准进行打分，并按综合得分由高到低顺序推荐1-3名中标候选人。</w:t>
            </w:r>
            <w:r>
              <w:rPr>
                <w:rFonts w:hint="eastAsia" w:ascii="宋体" w:hAnsi="宋体" w:eastAsia="宋体"/>
                <w:sz w:val="24"/>
                <w:szCs w:val="24"/>
                <w:lang w:eastAsia="zh-CN"/>
              </w:rPr>
              <w:t>当综合得分相等时按以下顺序推荐中标候选人：</w:t>
            </w:r>
          </w:p>
          <w:p>
            <w:pPr>
              <w:rPr>
                <w:rFonts w:ascii="宋体" w:hAnsi="宋体" w:eastAsia="宋体"/>
                <w:sz w:val="24"/>
                <w:szCs w:val="24"/>
                <w:lang w:eastAsia="zh-CN"/>
              </w:rPr>
            </w:pPr>
            <w:r>
              <w:rPr>
                <w:rFonts w:ascii="宋体" w:hAnsi="宋体" w:eastAsia="宋体"/>
                <w:sz w:val="24"/>
                <w:szCs w:val="24"/>
                <w:lang w:eastAsia="zh-CN"/>
              </w:rPr>
              <w:t>1、以评标价低的优先</w:t>
            </w:r>
            <w:r>
              <w:rPr>
                <w:rFonts w:hint="eastAsia" w:ascii="宋体" w:hAnsi="宋体" w:eastAsia="宋体"/>
                <w:sz w:val="24"/>
                <w:szCs w:val="24"/>
                <w:lang w:eastAsia="zh-CN"/>
              </w:rPr>
              <w:t>；</w:t>
            </w:r>
          </w:p>
          <w:p>
            <w:pPr>
              <w:rPr>
                <w:rFonts w:ascii="宋体" w:hAnsi="宋体" w:eastAsia="宋体"/>
                <w:sz w:val="24"/>
                <w:szCs w:val="24"/>
                <w:lang w:eastAsia="zh-CN"/>
              </w:rPr>
            </w:pPr>
            <w:r>
              <w:rPr>
                <w:rFonts w:ascii="宋体" w:hAnsi="宋体" w:eastAsia="宋体"/>
                <w:sz w:val="24"/>
                <w:szCs w:val="24"/>
                <w:lang w:eastAsia="zh-CN"/>
              </w:rPr>
              <w:t>2、当评标价也相等时，以技术得分高的优先</w:t>
            </w:r>
            <w:r>
              <w:rPr>
                <w:rFonts w:hint="eastAsia" w:ascii="宋体" w:hAnsi="宋体" w:eastAsia="宋体"/>
                <w:sz w:val="24"/>
                <w:szCs w:val="24"/>
                <w:lang w:eastAsia="zh-CN"/>
              </w:rPr>
              <w:t>；</w:t>
            </w:r>
          </w:p>
          <w:p>
            <w:pPr>
              <w:rPr>
                <w:rFonts w:ascii="宋体" w:hAnsi="宋体" w:eastAsia="宋体"/>
                <w:sz w:val="24"/>
                <w:szCs w:val="24"/>
                <w:lang w:eastAsia="zh-CN"/>
              </w:rPr>
            </w:pPr>
            <w:r>
              <w:rPr>
                <w:rFonts w:ascii="宋体" w:hAnsi="宋体" w:eastAsia="宋体"/>
                <w:sz w:val="24"/>
                <w:szCs w:val="24"/>
                <w:lang w:eastAsia="zh-CN"/>
              </w:rPr>
              <w:t>3、技术得分相等的，由评标委员会投票确定。</w:t>
            </w:r>
          </w:p>
          <w:p>
            <w:pPr>
              <w:rPr>
                <w:rFonts w:ascii="宋体" w:hAnsi="宋体" w:eastAsia="宋体"/>
                <w:sz w:val="24"/>
                <w:szCs w:val="24"/>
                <w:lang w:eastAsia="zh-CN"/>
              </w:rPr>
            </w:pPr>
            <w:r>
              <w:rPr>
                <w:rFonts w:hint="eastAsia" w:ascii="宋体" w:hAnsi="宋体" w:eastAsia="宋体"/>
                <w:sz w:val="24"/>
                <w:szCs w:val="24"/>
                <w:lang w:eastAsia="zh-CN"/>
              </w:rPr>
              <w:t>同一投标人参与不同标段的投标，若在先评审的标段被推荐为第一中标候选人，则在之后评审的标段中继续参加评审但将不被推荐为中标候选人。</w:t>
            </w:r>
          </w:p>
          <w:p>
            <w:pPr>
              <w:rPr>
                <w:rFonts w:ascii="宋体" w:hAnsi="宋体" w:eastAsia="宋体"/>
                <w:lang w:eastAsia="zh-CN"/>
              </w:rPr>
            </w:pPr>
            <w:r>
              <w:rPr>
                <w:rFonts w:hint="eastAsia" w:ascii="宋体" w:hAnsi="宋体" w:eastAsia="宋体"/>
                <w:sz w:val="24"/>
                <w:szCs w:val="24"/>
                <w:lang w:eastAsia="zh-CN"/>
              </w:rPr>
              <w:t>本项目按标段号 (标段1、标段2、标段</w:t>
            </w:r>
            <w:r>
              <w:rPr>
                <w:rFonts w:ascii="宋体" w:hAnsi="宋体" w:eastAsia="宋体"/>
                <w:sz w:val="24"/>
                <w:szCs w:val="24"/>
                <w:lang w:eastAsia="zh-CN"/>
              </w:rPr>
              <w:t>3</w:t>
            </w:r>
            <w:r>
              <w:rPr>
                <w:rFonts w:hint="eastAsia" w:ascii="宋体" w:hAnsi="宋体" w:eastAsia="宋体"/>
                <w:sz w:val="24"/>
                <w:szCs w:val="24"/>
                <w:lang w:eastAsia="zh-CN"/>
              </w:rPr>
              <w:t>、标段</w:t>
            </w:r>
            <w:r>
              <w:rPr>
                <w:rFonts w:ascii="宋体" w:hAnsi="宋体" w:eastAsia="宋体"/>
                <w:sz w:val="24"/>
                <w:szCs w:val="24"/>
                <w:lang w:eastAsia="zh-CN"/>
              </w:rPr>
              <w:t>4</w:t>
            </w:r>
            <w:r>
              <w:rPr>
                <w:rFonts w:hint="eastAsia" w:ascii="宋体" w:hAnsi="宋体" w:eastAsia="宋体"/>
                <w:sz w:val="24"/>
                <w:szCs w:val="24"/>
                <w:lang w:eastAsia="zh-CN"/>
              </w:rPr>
              <w:t>、标段</w:t>
            </w:r>
            <w:r>
              <w:rPr>
                <w:rFonts w:ascii="宋体" w:hAnsi="宋体" w:eastAsia="宋体"/>
                <w:sz w:val="24"/>
                <w:szCs w:val="24"/>
                <w:lang w:eastAsia="zh-CN"/>
              </w:rPr>
              <w:t>5</w:t>
            </w:r>
            <w:r>
              <w:rPr>
                <w:rFonts w:hint="eastAsia" w:ascii="宋体" w:hAnsi="宋体" w:eastAsia="宋体"/>
                <w:sz w:val="24"/>
                <w:szCs w:val="24"/>
                <w:lang w:eastAsia="zh-CN"/>
              </w:rPr>
              <w:t>) 从小到大的顺序逐一进行评审。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2.1.1</w:t>
            </w:r>
          </w:p>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2.1.3</w:t>
            </w:r>
          </w:p>
        </w:tc>
        <w:tc>
          <w:tcPr>
            <w:tcW w:w="1607" w:type="dxa"/>
            <w:vAlign w:val="center"/>
          </w:tcPr>
          <w:p>
            <w:pPr>
              <w:adjustRightInd w:val="0"/>
              <w:snapToGrid w:val="0"/>
              <w:jc w:val="center"/>
              <w:rPr>
                <w:rFonts w:ascii="宋体" w:hAnsi="宋体" w:eastAsia="宋体" w:cs="Times New Roman"/>
                <w:sz w:val="24"/>
                <w:szCs w:val="24"/>
                <w:lang w:eastAsia="zh-CN"/>
              </w:rPr>
            </w:pPr>
            <w:r>
              <w:rPr>
                <w:rFonts w:ascii="宋体" w:hAnsi="宋体" w:eastAsia="宋体" w:cs="Times New Roman"/>
                <w:sz w:val="24"/>
                <w:szCs w:val="24"/>
                <w:lang w:eastAsia="zh-CN"/>
              </w:rPr>
              <w:t>形式评审与响应性评审标准</w:t>
            </w:r>
          </w:p>
        </w:tc>
        <w:tc>
          <w:tcPr>
            <w:tcW w:w="6547" w:type="dxa"/>
            <w:vAlign w:val="center"/>
          </w:tcPr>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（1）投标文件按照招标文件规定的格式、内容填写，字迹清晰可辨：</w:t>
            </w:r>
          </w:p>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a.投标函按招标文件规定填报了报价、补遗书编号（如有）、标段号；</w:t>
            </w:r>
          </w:p>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b.投标文件组成齐全完整，内容均按规定填写。</w:t>
            </w:r>
          </w:p>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（2）投标文件上法定代表人或其委托代理人的签字、投标人的单位章盖章齐全，符合招标文件规定。</w:t>
            </w:r>
          </w:p>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（3）投标人按照招标文件的规定提供了投标保证金：</w:t>
            </w:r>
          </w:p>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a.投标保证金金额符合招标文件规定的金额，且投标保证金有效期不少于投标有效期；</w:t>
            </w:r>
          </w:p>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b.若投标保证金采用电汇或转账形式提交，投标人应在递交投标文件截止时间之前，将投标保证金由投标人的基本账户转入招标人指定账户；</w:t>
            </w:r>
          </w:p>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c.若投标保证金采用银行保函形式提交，银行保函的格式、开具保函的银行均满足招标文件要求，且在递交投标文件截止时间之前向招标人提交了银行保函原件。</w:t>
            </w:r>
          </w:p>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d. 若投标保证金采用保证保险或担保保函形式提交，需通过投标人基本账户购买电子保证保险或电子担保保函。投标文件中需附：</w:t>
            </w:r>
            <w:r>
              <w:rPr>
                <w:rFonts w:hint="eastAsia" w:ascii="宋体" w:hAnsi="宋体" w:eastAsia="宋体" w:cs="宋体"/>
                <w:sz w:val="24"/>
                <w:szCs w:val="24"/>
                <w:lang w:eastAsia="zh-CN"/>
              </w:rPr>
              <w:t>①</w:t>
            </w:r>
            <w:r>
              <w:rPr>
                <w:rFonts w:ascii="宋体" w:hAnsi="宋体" w:eastAsia="宋体" w:cs="Times New Roman"/>
                <w:sz w:val="24"/>
                <w:szCs w:val="24"/>
                <w:lang w:eastAsia="zh-CN"/>
              </w:rPr>
              <w:t>保证保险的复印件或电子担保保函的复印件；</w:t>
            </w:r>
            <w:r>
              <w:rPr>
                <w:rFonts w:hint="eastAsia" w:ascii="宋体" w:hAnsi="宋体" w:eastAsia="宋体" w:cs="宋体"/>
                <w:sz w:val="24"/>
                <w:szCs w:val="24"/>
                <w:lang w:eastAsia="zh-CN"/>
              </w:rPr>
              <w:t>②</w:t>
            </w:r>
            <w:r>
              <w:rPr>
                <w:rFonts w:ascii="宋体" w:hAnsi="宋体" w:eastAsia="宋体" w:cs="Times New Roman"/>
                <w:sz w:val="24"/>
                <w:szCs w:val="24"/>
                <w:lang w:eastAsia="zh-CN"/>
              </w:rPr>
              <w:t>购买电子保证保险或电子担保保函凭证的复印件。二者缺一不可。</w:t>
            </w:r>
          </w:p>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 xml:space="preserve">（4）投标人法定代表人授权委托代理人签署投标文件的，须提交授权委托书，授权委托书的签字盖章符合招标文件规定。 </w:t>
            </w:r>
          </w:p>
          <w:p>
            <w:pPr>
              <w:snapToGrid w:val="0"/>
              <w:rPr>
                <w:rFonts w:ascii="宋体" w:hAnsi="宋体" w:eastAsia="宋体" w:cs="Times New Roman"/>
                <w:sz w:val="24"/>
                <w:szCs w:val="24"/>
                <w:lang w:eastAsia="zh-CN"/>
              </w:rPr>
            </w:pPr>
            <w:r>
              <w:rPr>
                <w:rFonts w:ascii="宋体" w:hAnsi="宋体" w:eastAsia="宋体" w:cs="Times New Roman"/>
                <w:sz w:val="24"/>
                <w:szCs w:val="24"/>
                <w:lang w:eastAsia="zh-CN"/>
              </w:rPr>
              <w:t>（5）投标人法定代表人亲自签署投标文件的，提供了法定代表人身份证明，法定代表人身份证明的签字盖章符合招标文件规定。</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（6）投标人未以联合体形式投标。</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（7）投标人未对本项目提出分包计划。</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（8）同一投标人未提交两个以上不同的投标文件。</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（9）投标文件载明的招标项目交货期符合招标文件规定。</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（10）投标文件对招标文件的实质性要求和条件作出响应。</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（11）权利义务符合招标文件规定：</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a.投标人应接受招标文件规定的风险划分原则，未提出新的风险划分办法；</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b.投标人未增加招标人的责任范围，或减少投标人义务；</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c.投标人未提出不同的支付办法；</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d.投标人对合同纠纷、事故处理办法未提出异议；</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e.投标人在投标活动中无欺诈行为；</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f.投标人未对合同条款有重要保留。</w:t>
            </w:r>
          </w:p>
          <w:p>
            <w:pPr>
              <w:tabs>
                <w:tab w:val="left" w:pos="3060"/>
              </w:tabs>
              <w:rPr>
                <w:rFonts w:ascii="宋体" w:hAnsi="宋体" w:eastAsia="宋体" w:cs="Times New Roman"/>
                <w:sz w:val="24"/>
                <w:szCs w:val="24"/>
                <w:lang w:eastAsia="zh-CN"/>
              </w:rPr>
            </w:pPr>
            <w:r>
              <w:rPr>
                <w:rFonts w:ascii="宋体" w:hAnsi="宋体" w:eastAsia="宋体" w:cs="Times New Roman"/>
                <w:sz w:val="24"/>
                <w:szCs w:val="24"/>
                <w:lang w:eastAsia="zh-CN"/>
              </w:rPr>
              <w:t>(12)投标人名称与营业执照一致，如企业名称有变更的，应提供其变更记录或相关部门的合法批件复印件。</w:t>
            </w:r>
          </w:p>
          <w:p>
            <w:pPr>
              <w:rPr>
                <w:rFonts w:ascii="宋体" w:hAnsi="宋体" w:eastAsia="宋体" w:cs="Times New Roman"/>
                <w:sz w:val="24"/>
                <w:szCs w:val="24"/>
                <w:lang w:eastAsia="zh-CN"/>
              </w:rPr>
            </w:pPr>
            <w:r>
              <w:rPr>
                <w:rFonts w:ascii="宋体" w:hAnsi="宋体" w:eastAsia="宋体" w:cs="Times New Roman"/>
                <w:sz w:val="24"/>
                <w:szCs w:val="24"/>
                <w:lang w:eastAsia="zh-CN"/>
              </w:rPr>
              <w:t>(13)投标报价未超过最高投标限价。</w:t>
            </w:r>
          </w:p>
          <w:p>
            <w:pPr>
              <w:tabs>
                <w:tab w:val="left" w:pos="3060"/>
              </w:tabs>
              <w:snapToGrid w:val="0"/>
              <w:rPr>
                <w:rFonts w:ascii="宋体" w:hAnsi="宋体" w:eastAsia="宋体" w:cs="Times New Roman"/>
                <w:sz w:val="24"/>
                <w:szCs w:val="24"/>
                <w:lang w:eastAsia="zh-CN"/>
              </w:rPr>
            </w:pPr>
            <w:r>
              <w:rPr>
                <w:rFonts w:ascii="宋体" w:hAnsi="宋体" w:eastAsia="宋体" w:cs="Times New Roman"/>
                <w:sz w:val="24"/>
                <w:szCs w:val="24"/>
                <w:lang w:eastAsia="zh-CN"/>
              </w:rPr>
              <w:t>(14)投标报价中报价的金额能够确定具体数值。</w:t>
            </w:r>
          </w:p>
          <w:p>
            <w:pPr>
              <w:tabs>
                <w:tab w:val="left" w:pos="3060"/>
              </w:tabs>
              <w:snapToGrid w:val="0"/>
              <w:rPr>
                <w:rFonts w:ascii="宋体" w:hAnsi="宋体" w:eastAsia="宋体" w:cs="Times New Roman"/>
                <w:sz w:val="24"/>
                <w:szCs w:val="24"/>
                <w:lang w:eastAsia="zh-CN"/>
              </w:rPr>
            </w:pPr>
            <w:r>
              <w:rPr>
                <w:rFonts w:ascii="宋体" w:hAnsi="宋体" w:eastAsia="宋体" w:cs="Times New Roman"/>
                <w:sz w:val="24"/>
                <w:szCs w:val="24"/>
                <w:lang w:eastAsia="zh-CN"/>
              </w:rPr>
              <w:t>(15) 同一投标人未提交两个以上不同的投标报价。</w:t>
            </w:r>
          </w:p>
          <w:p>
            <w:pPr>
              <w:tabs>
                <w:tab w:val="left" w:pos="3060"/>
              </w:tabs>
              <w:snapToGrid w:val="0"/>
              <w:rPr>
                <w:rFonts w:ascii="宋体" w:hAnsi="宋体" w:eastAsia="宋体" w:cs="Times New Roman"/>
                <w:sz w:val="24"/>
                <w:szCs w:val="24"/>
                <w:lang w:eastAsia="zh-CN"/>
              </w:rPr>
            </w:pPr>
            <w:r>
              <w:rPr>
                <w:rFonts w:ascii="宋体" w:hAnsi="宋体" w:eastAsia="宋体" w:cs="Times New Roman"/>
                <w:sz w:val="24"/>
                <w:szCs w:val="24"/>
                <w:lang w:eastAsia="zh-CN"/>
              </w:rPr>
              <w:t>(16) 按招标人给定的标段划分及招标内容表填报的。</w:t>
            </w:r>
          </w:p>
          <w:p>
            <w:pPr>
              <w:tabs>
                <w:tab w:val="left" w:pos="3060"/>
              </w:tabs>
              <w:snapToGrid w:val="0"/>
              <w:rPr>
                <w:rFonts w:ascii="宋体" w:hAnsi="宋体" w:eastAsia="宋体" w:cs="Times New Roman"/>
                <w:sz w:val="24"/>
                <w:szCs w:val="24"/>
                <w:lang w:eastAsia="zh-CN"/>
              </w:rPr>
            </w:pPr>
            <w:r>
              <w:rPr>
                <w:rFonts w:ascii="宋体" w:hAnsi="宋体" w:eastAsia="宋体" w:cs="Times New Roman"/>
                <w:sz w:val="24"/>
                <w:szCs w:val="24"/>
                <w:lang w:eastAsia="zh-CN"/>
              </w:rPr>
              <w:t>(17) 投标人根据招标人提供的标段划分及招标内容表填报完成投标报价和投标函大写金额报价一致的。</w:t>
            </w:r>
          </w:p>
          <w:p>
            <w:pPr>
              <w:pStyle w:val="2"/>
              <w:ind w:left="0" w:leftChars="0" w:firstLine="0" w:firstLineChars="0"/>
              <w:rPr>
                <w:rFonts w:ascii="宋体" w:hAnsi="宋体"/>
              </w:rPr>
            </w:pPr>
            <w:r>
              <w:rPr>
                <w:rFonts w:ascii="宋体" w:hAnsi="宋体"/>
                <w:sz w:val="24"/>
              </w:rPr>
              <w:t xml:space="preserve">(18) </w:t>
            </w:r>
            <w:r>
              <w:rPr>
                <w:rFonts w:hint="eastAsia" w:ascii="宋体" w:hAnsi="宋体"/>
                <w:sz w:val="24"/>
              </w:rPr>
              <w:t>投标人未对两个以上标段投标。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2.1.2</w:t>
            </w:r>
          </w:p>
        </w:tc>
        <w:tc>
          <w:tcPr>
            <w:tcW w:w="1607" w:type="dxa"/>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资格评审</w:t>
            </w:r>
          </w:p>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标准</w:t>
            </w:r>
          </w:p>
        </w:tc>
        <w:tc>
          <w:tcPr>
            <w:tcW w:w="6547" w:type="dxa"/>
            <w:vAlign w:val="center"/>
          </w:tcPr>
          <w:p>
            <w:pPr>
              <w:tabs>
                <w:tab w:val="left" w:pos="3060"/>
              </w:tabs>
              <w:jc w:val="both"/>
              <w:rPr>
                <w:rFonts w:ascii="宋体" w:hAnsi="宋体" w:eastAsia="宋体" w:cs="Times New Roman"/>
                <w:sz w:val="24"/>
                <w:szCs w:val="24"/>
                <w:lang w:eastAsia="zh-CN"/>
              </w:rPr>
            </w:pPr>
            <w:r>
              <w:rPr>
                <w:rFonts w:ascii="宋体" w:hAnsi="宋体" w:eastAsia="宋体" w:cs="Times New Roman"/>
                <w:sz w:val="24"/>
                <w:szCs w:val="24"/>
                <w:lang w:eastAsia="zh-CN"/>
              </w:rPr>
              <w:t>（1）本次招标要求投标人须满足本公告附件1要求的资格审查条件，并具有与本招标项目相应的供货能力；</w:t>
            </w:r>
          </w:p>
          <w:p>
            <w:pPr>
              <w:tabs>
                <w:tab w:val="left" w:pos="3060"/>
              </w:tabs>
              <w:jc w:val="both"/>
              <w:rPr>
                <w:rFonts w:ascii="宋体" w:hAnsi="宋体" w:eastAsia="宋体" w:cs="Times New Roman"/>
                <w:sz w:val="24"/>
                <w:szCs w:val="24"/>
                <w:lang w:eastAsia="zh-CN"/>
              </w:rPr>
            </w:pPr>
            <w:r>
              <w:rPr>
                <w:rFonts w:ascii="宋体" w:hAnsi="宋体" w:eastAsia="宋体" w:cs="Times New Roman"/>
                <w:sz w:val="24"/>
                <w:szCs w:val="24"/>
                <w:lang w:eastAsia="zh-CN"/>
              </w:rPr>
              <w:t>（2）投标人的信誉符合招标文件规定；</w:t>
            </w:r>
          </w:p>
          <w:p>
            <w:pPr>
              <w:tabs>
                <w:tab w:val="left" w:pos="3060"/>
              </w:tabs>
              <w:jc w:val="both"/>
              <w:rPr>
                <w:rFonts w:ascii="宋体" w:hAnsi="宋体" w:eastAsia="宋体" w:cs="Times New Roman"/>
                <w:sz w:val="24"/>
                <w:szCs w:val="24"/>
                <w:lang w:eastAsia="zh-CN"/>
              </w:rPr>
            </w:pPr>
            <w:r>
              <w:rPr>
                <w:rFonts w:ascii="宋体" w:hAnsi="宋体" w:eastAsia="宋体" w:cs="Times New Roman"/>
                <w:sz w:val="24"/>
                <w:szCs w:val="24"/>
                <w:lang w:eastAsia="zh-CN"/>
              </w:rPr>
              <w:t>（3） 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wordWrap w:val="0"/>
              <w:adjustRightInd w:val="0"/>
              <w:snapToGrid w:val="0"/>
              <w:jc w:val="center"/>
              <w:rPr>
                <w:rFonts w:ascii="宋体" w:hAnsi="宋体" w:eastAsia="宋体" w:cs="Times New Roman"/>
                <w:sz w:val="24"/>
                <w:szCs w:val="24"/>
              </w:rPr>
            </w:pPr>
            <w:r>
              <w:rPr>
                <w:rFonts w:ascii="宋体" w:hAnsi="宋体" w:eastAsia="宋体" w:cs="Times New Roman"/>
                <w:sz w:val="24"/>
                <w:szCs w:val="24"/>
                <w:shd w:val="clear" w:color="auto" w:fill="FFFFFF" w:themeFill="background1"/>
              </w:rPr>
              <w:t>2.2</w:t>
            </w:r>
          </w:p>
        </w:tc>
        <w:tc>
          <w:tcPr>
            <w:tcW w:w="8154" w:type="dxa"/>
            <w:gridSpan w:val="2"/>
            <w:vAlign w:val="center"/>
          </w:tcPr>
          <w:p>
            <w:pPr>
              <w:wordWrap w:val="0"/>
              <w:adjustRightInd w:val="0"/>
              <w:snapToGrid w:val="0"/>
              <w:jc w:val="center"/>
              <w:rPr>
                <w:rFonts w:ascii="宋体" w:hAnsi="宋体" w:eastAsia="宋体" w:cs="Times New Roman"/>
                <w:sz w:val="24"/>
                <w:szCs w:val="24"/>
              </w:rPr>
            </w:pPr>
            <w:r>
              <w:rPr>
                <w:rFonts w:ascii="宋体" w:hAnsi="宋体" w:eastAsia="宋体" w:cs="Times New Roman"/>
                <w:sz w:val="24"/>
                <w:szCs w:val="24"/>
                <w:shd w:val="clear" w:color="auto" w:fill="FFFFFF" w:themeFill="background1"/>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2.3.1</w:t>
            </w:r>
          </w:p>
        </w:tc>
        <w:tc>
          <w:tcPr>
            <w:tcW w:w="1607" w:type="dxa"/>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分值构成</w:t>
            </w:r>
          </w:p>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（总分100分）</w:t>
            </w:r>
          </w:p>
        </w:tc>
        <w:tc>
          <w:tcPr>
            <w:tcW w:w="6547" w:type="dxa"/>
            <w:vAlign w:val="center"/>
          </w:tcPr>
          <w:p>
            <w:pPr>
              <w:jc w:val="both"/>
              <w:rPr>
                <w:rFonts w:ascii="宋体" w:hAnsi="宋体" w:eastAsia="宋体" w:cs="Times New Roman"/>
                <w:b/>
                <w:sz w:val="24"/>
                <w:szCs w:val="24"/>
                <w:lang w:eastAsia="zh-CN"/>
              </w:rPr>
            </w:pPr>
            <w:r>
              <w:rPr>
                <w:rFonts w:ascii="宋体" w:hAnsi="宋体" w:eastAsia="宋体" w:cs="Times New Roman"/>
                <w:b/>
                <w:sz w:val="24"/>
                <w:szCs w:val="24"/>
                <w:lang w:eastAsia="zh-CN"/>
              </w:rPr>
              <w:t>评分分值构成：</w:t>
            </w:r>
          </w:p>
          <w:p>
            <w:pPr>
              <w:jc w:val="both"/>
              <w:rPr>
                <w:rFonts w:ascii="宋体" w:hAnsi="宋体" w:eastAsia="宋体" w:cs="Times New Roman"/>
                <w:bCs/>
                <w:sz w:val="24"/>
                <w:szCs w:val="24"/>
                <w:lang w:eastAsia="zh-CN"/>
              </w:rPr>
            </w:pPr>
            <w:r>
              <w:rPr>
                <w:rFonts w:ascii="宋体" w:hAnsi="宋体" w:eastAsia="宋体" w:cs="Times New Roman"/>
                <w:bCs/>
                <w:sz w:val="24"/>
                <w:szCs w:val="24"/>
                <w:lang w:eastAsia="zh-CN"/>
              </w:rPr>
              <w:t>技术部分：60分</w:t>
            </w:r>
          </w:p>
          <w:p>
            <w:pPr>
              <w:adjustRightInd w:val="0"/>
              <w:snapToGrid w:val="0"/>
              <w:jc w:val="both"/>
              <w:rPr>
                <w:rFonts w:ascii="宋体" w:hAnsi="宋体" w:eastAsia="宋体" w:cs="Times New Roman"/>
                <w:sz w:val="24"/>
                <w:szCs w:val="24"/>
              </w:rPr>
            </w:pPr>
            <w:r>
              <w:rPr>
                <w:rFonts w:ascii="宋体" w:hAnsi="宋体" w:eastAsia="宋体" w:cs="Times New Roman"/>
                <w:bCs/>
                <w:sz w:val="24"/>
                <w:szCs w:val="24"/>
              </w:rPr>
              <w:t>投标报价：40分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2.3.2</w:t>
            </w:r>
          </w:p>
        </w:tc>
        <w:tc>
          <w:tcPr>
            <w:tcW w:w="1607" w:type="dxa"/>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评标基准价</w:t>
            </w:r>
          </w:p>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计算方法</w:t>
            </w:r>
          </w:p>
        </w:tc>
        <w:tc>
          <w:tcPr>
            <w:tcW w:w="6547" w:type="dxa"/>
            <w:vAlign w:val="center"/>
          </w:tcPr>
          <w:p>
            <w:pPr>
              <w:pStyle w:val="2"/>
              <w:ind w:left="0" w:leftChars="0" w:firstLine="0" w:firstLineChars="0"/>
              <w:rPr>
                <w:rFonts w:ascii="宋体" w:hAnsi="宋体"/>
                <w:sz w:val="24"/>
              </w:rPr>
            </w:pPr>
            <w:r>
              <w:rPr>
                <w:rFonts w:ascii="宋体" w:hAnsi="宋体"/>
                <w:sz w:val="24"/>
              </w:rPr>
              <w:t>评标基准价的计算：</w:t>
            </w:r>
          </w:p>
          <w:p>
            <w:pPr>
              <w:pStyle w:val="2"/>
              <w:ind w:left="0" w:leftChars="0" w:firstLine="0" w:firstLineChars="0"/>
              <w:rPr>
                <w:rFonts w:ascii="宋体" w:hAnsi="宋体"/>
                <w:sz w:val="24"/>
              </w:rPr>
            </w:pPr>
            <w:r>
              <w:rPr>
                <w:rFonts w:ascii="宋体" w:hAnsi="宋体"/>
                <w:sz w:val="24"/>
              </w:rPr>
              <w:t>1、评标价的确定：</w:t>
            </w:r>
          </w:p>
          <w:p>
            <w:pPr>
              <w:pStyle w:val="2"/>
              <w:ind w:left="0" w:leftChars="0" w:firstLine="0" w:firstLineChars="0"/>
              <w:rPr>
                <w:rFonts w:ascii="宋体" w:hAnsi="宋体"/>
                <w:sz w:val="24"/>
              </w:rPr>
            </w:pPr>
            <w:r>
              <w:rPr>
                <w:rFonts w:ascii="宋体" w:hAnsi="宋体"/>
                <w:sz w:val="24"/>
              </w:rPr>
              <w:t>评标价=投标函文字报价</w:t>
            </w:r>
          </w:p>
          <w:p>
            <w:pPr>
              <w:pStyle w:val="2"/>
              <w:ind w:left="0" w:leftChars="0" w:firstLine="0" w:firstLineChars="0"/>
              <w:rPr>
                <w:rFonts w:ascii="宋体" w:hAnsi="宋体"/>
                <w:sz w:val="24"/>
              </w:rPr>
            </w:pPr>
            <w:r>
              <w:rPr>
                <w:rFonts w:ascii="宋体" w:hAnsi="宋体"/>
                <w:sz w:val="24"/>
              </w:rPr>
              <w:t>2、评标价平均值的计算：</w:t>
            </w:r>
          </w:p>
          <w:p>
            <w:pPr>
              <w:pStyle w:val="2"/>
              <w:ind w:left="0" w:leftChars="0" w:firstLine="0" w:firstLineChars="0"/>
              <w:rPr>
                <w:rFonts w:ascii="宋体" w:hAnsi="宋体"/>
                <w:sz w:val="24"/>
              </w:rPr>
            </w:pPr>
            <w:r>
              <w:rPr>
                <w:rFonts w:ascii="宋体" w:hAnsi="宋体"/>
                <w:sz w:val="24"/>
              </w:rPr>
              <w:t>通过初步评审的所有投标人的评标价去掉规定个数的最高值和最低值后的算术平均值即为评标价平均值。</w:t>
            </w:r>
          </w:p>
          <w:p>
            <w:pPr>
              <w:snapToGrid w:val="0"/>
              <w:rPr>
                <w:rFonts w:ascii="宋体" w:hAnsi="宋体" w:eastAsia="宋体" w:cs="Times New Roman"/>
                <w:spacing w:val="-4"/>
                <w:sz w:val="24"/>
                <w:szCs w:val="24"/>
                <w:lang w:eastAsia="zh-CN"/>
              </w:rPr>
            </w:pPr>
            <w:r>
              <w:rPr>
                <w:rFonts w:ascii="宋体" w:hAnsi="宋体" w:eastAsia="宋体" w:cs="Times New Roman"/>
                <w:spacing w:val="-4"/>
                <w:sz w:val="24"/>
                <w:szCs w:val="24"/>
                <w:lang w:eastAsia="zh-CN"/>
              </w:rPr>
              <w:t xml:space="preserve">a、如果参与评标价平均值计算的投标人数量＜6家时，计算评标价平均值时不去最高值和最低值。 </w:t>
            </w:r>
          </w:p>
          <w:p>
            <w:pPr>
              <w:snapToGrid w:val="0"/>
              <w:rPr>
                <w:rFonts w:ascii="宋体" w:hAnsi="宋体" w:eastAsia="宋体" w:cs="Times New Roman"/>
                <w:spacing w:val="-4"/>
                <w:sz w:val="24"/>
                <w:szCs w:val="24"/>
                <w:lang w:eastAsia="zh-CN"/>
              </w:rPr>
            </w:pPr>
            <w:r>
              <w:rPr>
                <w:rFonts w:ascii="宋体" w:hAnsi="宋体" w:eastAsia="宋体" w:cs="Times New Roman"/>
                <w:spacing w:val="-4"/>
                <w:sz w:val="24"/>
                <w:szCs w:val="24"/>
                <w:lang w:eastAsia="zh-CN"/>
              </w:rPr>
              <w:t xml:space="preserve">b、如果6家≤参与评标价平均值计算的投标人数量＜10家时，计算评标价平均值时去掉1个最高值和1个最低值。 </w:t>
            </w:r>
          </w:p>
          <w:p>
            <w:pPr>
              <w:snapToGrid w:val="0"/>
              <w:rPr>
                <w:rFonts w:ascii="宋体" w:hAnsi="宋体" w:eastAsia="宋体" w:cs="Times New Roman"/>
                <w:spacing w:val="-4"/>
                <w:sz w:val="24"/>
                <w:szCs w:val="24"/>
                <w:lang w:eastAsia="zh-CN"/>
              </w:rPr>
            </w:pPr>
            <w:r>
              <w:rPr>
                <w:rFonts w:ascii="宋体" w:hAnsi="宋体" w:eastAsia="宋体" w:cs="Times New Roman"/>
                <w:spacing w:val="-4"/>
                <w:sz w:val="24"/>
                <w:szCs w:val="24"/>
                <w:lang w:eastAsia="zh-CN"/>
              </w:rPr>
              <w:t xml:space="preserve">c、如果10家≤参与评标价平均值计算的投标人数量＜20家时，计算评标价平均值时去掉2个最高值和2个最低值； </w:t>
            </w:r>
          </w:p>
          <w:p>
            <w:pPr>
              <w:snapToGrid w:val="0"/>
              <w:rPr>
                <w:rFonts w:ascii="宋体" w:hAnsi="宋体" w:eastAsia="宋体" w:cs="Times New Roman"/>
                <w:spacing w:val="-4"/>
                <w:sz w:val="24"/>
                <w:szCs w:val="24"/>
                <w:lang w:eastAsia="zh-CN"/>
              </w:rPr>
            </w:pPr>
            <w:r>
              <w:rPr>
                <w:rFonts w:ascii="宋体" w:hAnsi="宋体" w:eastAsia="宋体" w:cs="Times New Roman"/>
                <w:spacing w:val="-4"/>
                <w:sz w:val="24"/>
                <w:szCs w:val="24"/>
                <w:lang w:eastAsia="zh-CN"/>
              </w:rPr>
              <w:t xml:space="preserve">d、如果20家≤参与评标价平均值计算的投标人数量＜30家时，计算评标价平均值时去掉3个最高值和3个最低值； </w:t>
            </w:r>
          </w:p>
          <w:p>
            <w:pPr>
              <w:pStyle w:val="2"/>
              <w:ind w:left="0" w:leftChars="0" w:firstLine="0" w:firstLineChars="0"/>
              <w:rPr>
                <w:rFonts w:ascii="宋体" w:hAnsi="宋体"/>
                <w:spacing w:val="-4"/>
                <w:sz w:val="24"/>
              </w:rPr>
            </w:pPr>
            <w:r>
              <w:rPr>
                <w:rFonts w:ascii="宋体" w:hAnsi="宋体"/>
                <w:spacing w:val="-4"/>
                <w:sz w:val="24"/>
              </w:rPr>
              <w:t>e、如果30家≤参与评标价平均值计算的投标人数量时，计算评标价平均值时去掉5个最高值和5个最低值；</w:t>
            </w:r>
          </w:p>
          <w:p>
            <w:pPr>
              <w:pStyle w:val="2"/>
              <w:ind w:left="0" w:leftChars="0" w:firstLine="0" w:firstLineChars="0"/>
              <w:rPr>
                <w:rFonts w:ascii="宋体" w:hAnsi="宋体"/>
                <w:sz w:val="24"/>
              </w:rPr>
            </w:pPr>
            <w:r>
              <w:rPr>
                <w:rFonts w:ascii="宋体" w:hAnsi="宋体"/>
                <w:sz w:val="24"/>
              </w:rPr>
              <w:t xml:space="preserve">3、评标基准价的确定： </w:t>
            </w:r>
          </w:p>
          <w:p>
            <w:pPr>
              <w:pStyle w:val="2"/>
              <w:ind w:left="0" w:leftChars="0" w:firstLine="0" w:firstLineChars="0"/>
              <w:rPr>
                <w:rFonts w:ascii="宋体" w:hAnsi="宋体"/>
                <w:sz w:val="24"/>
              </w:rPr>
            </w:pPr>
            <w:r>
              <w:rPr>
                <w:rFonts w:ascii="宋体" w:hAnsi="宋体"/>
                <w:sz w:val="24"/>
              </w:rPr>
              <w:t>评标价平均值作为评标基准价。</w:t>
            </w:r>
          </w:p>
          <w:p>
            <w:pPr>
              <w:pStyle w:val="2"/>
              <w:ind w:left="0" w:leftChars="0" w:firstLine="0" w:firstLineChars="0"/>
              <w:rPr>
                <w:rFonts w:ascii="宋体" w:hAnsi="宋体"/>
                <w:sz w:val="24"/>
              </w:rPr>
            </w:pPr>
            <w:r>
              <w:rPr>
                <w:rFonts w:ascii="宋体" w:hAnsi="宋体"/>
                <w:sz w:val="24"/>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2.</w:t>
            </w:r>
            <w:r>
              <w:rPr>
                <w:rFonts w:ascii="宋体" w:hAnsi="宋体" w:eastAsia="宋体" w:cs="Times New Roman"/>
                <w:sz w:val="24"/>
                <w:szCs w:val="24"/>
                <w:lang w:eastAsia="zh-CN"/>
              </w:rPr>
              <w:t>3</w:t>
            </w:r>
            <w:r>
              <w:rPr>
                <w:rFonts w:ascii="宋体" w:hAnsi="宋体" w:eastAsia="宋体" w:cs="Times New Roman"/>
                <w:sz w:val="24"/>
                <w:szCs w:val="24"/>
              </w:rPr>
              <w:t>.3</w:t>
            </w:r>
          </w:p>
        </w:tc>
        <w:tc>
          <w:tcPr>
            <w:tcW w:w="1607" w:type="dxa"/>
            <w:vAlign w:val="center"/>
          </w:tcPr>
          <w:p>
            <w:pPr>
              <w:adjustRightInd w:val="0"/>
              <w:snapToGrid w:val="0"/>
              <w:jc w:val="center"/>
              <w:rPr>
                <w:rFonts w:ascii="宋体" w:hAnsi="宋体" w:eastAsia="宋体" w:cs="Times New Roman"/>
                <w:sz w:val="24"/>
                <w:szCs w:val="24"/>
                <w:lang w:eastAsia="zh-CN"/>
              </w:rPr>
            </w:pPr>
            <w:r>
              <w:rPr>
                <w:rFonts w:ascii="宋体" w:hAnsi="宋体" w:eastAsia="宋体" w:cs="Times New Roman"/>
                <w:sz w:val="24"/>
                <w:szCs w:val="24"/>
                <w:lang w:eastAsia="zh-CN"/>
              </w:rPr>
              <w:t>评标价的偏差率计算公式</w:t>
            </w:r>
          </w:p>
        </w:tc>
        <w:tc>
          <w:tcPr>
            <w:tcW w:w="6547" w:type="dxa"/>
            <w:vAlign w:val="center"/>
          </w:tcPr>
          <w:p>
            <w:pPr>
              <w:adjustRightInd w:val="0"/>
              <w:snapToGrid w:val="0"/>
              <w:jc w:val="both"/>
              <w:rPr>
                <w:rFonts w:ascii="宋体" w:hAnsi="宋体" w:eastAsia="宋体" w:cs="Times New Roman"/>
                <w:sz w:val="24"/>
                <w:szCs w:val="24"/>
                <w:lang w:eastAsia="zh-CN"/>
              </w:rPr>
            </w:pPr>
            <w:r>
              <w:rPr>
                <w:rFonts w:ascii="宋体" w:hAnsi="宋体" w:eastAsia="宋体" w:cs="Times New Roman"/>
                <w:sz w:val="24"/>
                <w:szCs w:val="24"/>
                <w:lang w:eastAsia="zh-CN"/>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3.6.1</w:t>
            </w:r>
          </w:p>
        </w:tc>
        <w:tc>
          <w:tcPr>
            <w:tcW w:w="1607" w:type="dxa"/>
            <w:vAlign w:val="center"/>
          </w:tcPr>
          <w:p>
            <w:pPr>
              <w:adjustRightInd w:val="0"/>
              <w:snapToGrid w:val="0"/>
              <w:jc w:val="center"/>
              <w:rPr>
                <w:rFonts w:ascii="宋体" w:hAnsi="宋体" w:eastAsia="宋体" w:cs="Times New Roman"/>
                <w:sz w:val="24"/>
                <w:szCs w:val="24"/>
              </w:rPr>
            </w:pPr>
            <w:r>
              <w:rPr>
                <w:rFonts w:ascii="宋体" w:hAnsi="宋体" w:eastAsia="宋体" w:cs="Times New Roman"/>
                <w:sz w:val="24"/>
                <w:szCs w:val="24"/>
              </w:rPr>
              <w:t>信息查询</w:t>
            </w:r>
          </w:p>
        </w:tc>
        <w:tc>
          <w:tcPr>
            <w:tcW w:w="6547" w:type="dxa"/>
            <w:vAlign w:val="center"/>
          </w:tcPr>
          <w:p>
            <w:pPr>
              <w:adjustRightInd w:val="0"/>
              <w:snapToGrid w:val="0"/>
              <w:rPr>
                <w:rFonts w:ascii="宋体" w:hAnsi="宋体" w:eastAsia="宋体" w:cs="Times New Roman"/>
                <w:sz w:val="24"/>
                <w:szCs w:val="24"/>
                <w:lang w:eastAsia="zh-CN"/>
              </w:rPr>
            </w:pPr>
            <w:r>
              <w:rPr>
                <w:rFonts w:ascii="宋体" w:hAnsi="宋体" w:eastAsia="宋体" w:cs="Times New Roman"/>
                <w:sz w:val="24"/>
                <w:szCs w:val="24"/>
                <w:lang w:eastAsia="zh-CN"/>
              </w:rPr>
              <w:t>在评标过程中，评标委员会应对以下信息进行查询：</w:t>
            </w:r>
          </w:p>
          <w:p>
            <w:pPr>
              <w:snapToGrid w:val="0"/>
              <w:ind w:firstLine="240" w:firstLineChars="100"/>
              <w:rPr>
                <w:rFonts w:ascii="宋体" w:hAnsi="宋体" w:eastAsia="宋体" w:cs="Times New Roman"/>
                <w:sz w:val="24"/>
                <w:szCs w:val="24"/>
                <w:lang w:eastAsia="zh-CN"/>
              </w:rPr>
            </w:pPr>
            <w:r>
              <w:rPr>
                <w:rFonts w:ascii="宋体" w:hAnsi="宋体" w:eastAsia="宋体" w:cs="Times New Roman"/>
                <w:sz w:val="24"/>
                <w:szCs w:val="24"/>
                <w:lang w:eastAsia="zh-CN"/>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经营异常名录信息、重大税收违法失信主体和政府采购严重违法失信行为记录名单（均不含分公司）情形的，评标委员会应否决其投标。</w:t>
            </w:r>
          </w:p>
          <w:p>
            <w:pPr>
              <w:snapToGrid w:val="0"/>
              <w:ind w:firstLine="240" w:firstLineChars="100"/>
              <w:rPr>
                <w:rFonts w:ascii="宋体" w:hAnsi="宋体" w:eastAsia="宋体" w:cs="Times New Roman"/>
                <w:sz w:val="24"/>
                <w:szCs w:val="24"/>
                <w:lang w:eastAsia="zh-CN"/>
              </w:rPr>
            </w:pPr>
            <w:r>
              <w:rPr>
                <w:rFonts w:ascii="宋体" w:hAnsi="宋体" w:eastAsia="宋体" w:cs="Times New Roman"/>
                <w:sz w:val="24"/>
                <w:szCs w:val="24"/>
                <w:lang w:eastAsia="zh-CN"/>
              </w:rPr>
              <w:t>若投标人未提供相关网页截图或所附截图结果与核查结果不一致的，评标委员会应否决其投标。</w:t>
            </w:r>
          </w:p>
        </w:tc>
      </w:tr>
    </w:tbl>
    <w:p>
      <w:pPr>
        <w:autoSpaceDE w:val="0"/>
        <w:autoSpaceDN w:val="0"/>
        <w:adjustRightInd w:val="0"/>
        <w:snapToGrid w:val="0"/>
        <w:spacing w:line="360" w:lineRule="auto"/>
        <w:ind w:left="119" w:right="113"/>
        <w:rPr>
          <w:rFonts w:ascii="宋体" w:hAnsi="宋体" w:eastAsia="宋体" w:cs="宋体"/>
          <w:szCs w:val="21"/>
          <w:lang w:eastAsia="zh-CN"/>
        </w:rPr>
      </w:pPr>
    </w:p>
    <w:p>
      <w:pPr>
        <w:rPr>
          <w:rFonts w:ascii="宋体" w:hAnsi="宋体" w:eastAsia="宋体" w:cs="宋体"/>
          <w:b/>
          <w:bCs/>
          <w:szCs w:val="21"/>
          <w:lang w:eastAsia="zh-CN"/>
        </w:rPr>
      </w:pPr>
      <w:r>
        <w:rPr>
          <w:rFonts w:hint="eastAsia" w:ascii="宋体" w:hAnsi="宋体" w:eastAsia="宋体" w:cs="宋体"/>
          <w:b/>
          <w:bCs/>
          <w:szCs w:val="21"/>
          <w:lang w:eastAsia="zh-CN"/>
        </w:rPr>
        <w:br w:type="page"/>
      </w:r>
    </w:p>
    <w:p>
      <w:pPr>
        <w:pStyle w:val="18"/>
        <w:jc w:val="left"/>
        <w:outlineLvl w:val="0"/>
        <w:rPr>
          <w:rFonts w:ascii="宋体" w:hAnsi="宋体" w:eastAsia="宋体" w:cs="宋体"/>
          <w:b w:val="0"/>
          <w:bCs/>
          <w:sz w:val="24"/>
          <w:szCs w:val="24"/>
        </w:rPr>
      </w:pPr>
      <w:r>
        <w:rPr>
          <w:rFonts w:hint="eastAsia" w:ascii="宋体" w:hAnsi="宋体" w:eastAsia="宋体" w:cs="宋体"/>
          <w:bCs/>
          <w:sz w:val="24"/>
          <w:szCs w:val="24"/>
        </w:rPr>
        <w:t>评分标准</w:t>
      </w:r>
    </w:p>
    <w:p>
      <w:pPr>
        <w:pStyle w:val="18"/>
        <w:jc w:val="left"/>
        <w:outlineLvl w:val="0"/>
        <w:rPr>
          <w:rFonts w:ascii="宋体" w:hAnsi="宋体" w:eastAsia="宋体" w:cs="宋体"/>
          <w:szCs w:val="21"/>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85"/>
        <w:gridCol w:w="1128"/>
        <w:gridCol w:w="1677"/>
        <w:gridCol w:w="358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6" w:type="dxa"/>
            <w:gridSpan w:val="2"/>
            <w:vAlign w:val="center"/>
          </w:tcPr>
          <w:p>
            <w:pPr>
              <w:jc w:val="center"/>
              <w:rPr>
                <w:rFonts w:ascii="宋体" w:hAnsi="宋体" w:eastAsia="宋体" w:cs="Times New Roman"/>
                <w:bCs/>
                <w:sz w:val="24"/>
                <w:szCs w:val="24"/>
              </w:rPr>
            </w:pPr>
            <w:r>
              <w:rPr>
                <w:rFonts w:ascii="宋体" w:hAnsi="宋体" w:eastAsia="宋体" w:cs="Times New Roman"/>
                <w:bCs/>
                <w:sz w:val="24"/>
                <w:szCs w:val="24"/>
              </w:rPr>
              <w:t>条款号</w:t>
            </w:r>
          </w:p>
        </w:tc>
        <w:tc>
          <w:tcPr>
            <w:tcW w:w="2805" w:type="dxa"/>
            <w:gridSpan w:val="2"/>
            <w:vAlign w:val="center"/>
          </w:tcPr>
          <w:p>
            <w:pPr>
              <w:jc w:val="center"/>
              <w:rPr>
                <w:rFonts w:ascii="宋体" w:hAnsi="宋体" w:eastAsia="宋体" w:cs="Times New Roman"/>
                <w:bCs/>
                <w:sz w:val="24"/>
                <w:szCs w:val="24"/>
              </w:rPr>
            </w:pPr>
            <w:r>
              <w:rPr>
                <w:rFonts w:ascii="宋体" w:hAnsi="宋体" w:eastAsia="宋体" w:cs="Times New Roman"/>
                <w:bCs/>
                <w:sz w:val="24"/>
                <w:szCs w:val="24"/>
              </w:rPr>
              <w:t>评分因素</w:t>
            </w:r>
          </w:p>
        </w:tc>
        <w:tc>
          <w:tcPr>
            <w:tcW w:w="4800" w:type="dxa"/>
            <w:gridSpan w:val="2"/>
            <w:vAlign w:val="center"/>
          </w:tcPr>
          <w:p>
            <w:pPr>
              <w:jc w:val="center"/>
              <w:rPr>
                <w:rFonts w:ascii="宋体" w:hAnsi="宋体" w:eastAsia="宋体" w:cs="Times New Roman"/>
                <w:bCs/>
                <w:sz w:val="24"/>
                <w:szCs w:val="24"/>
              </w:rPr>
            </w:pPr>
            <w:r>
              <w:rPr>
                <w:rFonts w:ascii="宋体" w:hAnsi="宋体" w:eastAsia="宋体" w:cs="Times New Roman"/>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restart"/>
            <w:vAlign w:val="center"/>
          </w:tcPr>
          <w:p>
            <w:pPr>
              <w:jc w:val="center"/>
              <w:rPr>
                <w:rFonts w:ascii="宋体" w:hAnsi="宋体" w:eastAsia="宋体" w:cs="Times New Roman"/>
                <w:bCs/>
                <w:sz w:val="24"/>
                <w:szCs w:val="24"/>
              </w:rPr>
            </w:pPr>
            <w:r>
              <w:rPr>
                <w:rFonts w:ascii="宋体" w:hAnsi="宋体" w:eastAsia="宋体" w:cs="Times New Roman"/>
                <w:bCs/>
                <w:sz w:val="24"/>
                <w:szCs w:val="24"/>
              </w:rPr>
              <w:t>技术部分</w:t>
            </w:r>
          </w:p>
        </w:tc>
        <w:tc>
          <w:tcPr>
            <w:tcW w:w="785" w:type="dxa"/>
            <w:vMerge w:val="restart"/>
            <w:vAlign w:val="center"/>
          </w:tcPr>
          <w:p>
            <w:pPr>
              <w:jc w:val="center"/>
              <w:rPr>
                <w:rFonts w:ascii="宋体" w:hAnsi="宋体" w:eastAsia="宋体" w:cs="Times New Roman"/>
                <w:bCs/>
                <w:sz w:val="24"/>
                <w:szCs w:val="24"/>
              </w:rPr>
            </w:pPr>
            <w:r>
              <w:rPr>
                <w:rFonts w:ascii="宋体" w:hAnsi="宋体" w:eastAsia="宋体" w:cs="Times New Roman"/>
                <w:bCs/>
                <w:sz w:val="24"/>
                <w:szCs w:val="24"/>
              </w:rPr>
              <w:t>2.3.4（</w:t>
            </w:r>
            <w:r>
              <w:rPr>
                <w:rFonts w:ascii="宋体" w:hAnsi="宋体" w:eastAsia="宋体" w:cs="Times New Roman"/>
                <w:bCs/>
                <w:sz w:val="24"/>
                <w:szCs w:val="24"/>
                <w:lang w:eastAsia="zh-CN"/>
              </w:rPr>
              <w:t>1</w:t>
            </w:r>
            <w:r>
              <w:rPr>
                <w:rFonts w:ascii="宋体" w:hAnsi="宋体" w:eastAsia="宋体" w:cs="Times New Roman"/>
                <w:bCs/>
                <w:sz w:val="24"/>
                <w:szCs w:val="24"/>
              </w:rPr>
              <w:t>）</w:t>
            </w:r>
          </w:p>
        </w:tc>
        <w:tc>
          <w:tcPr>
            <w:tcW w:w="1128" w:type="dxa"/>
            <w:vMerge w:val="restart"/>
            <w:vAlign w:val="center"/>
          </w:tcPr>
          <w:p>
            <w:pPr>
              <w:jc w:val="center"/>
              <w:rPr>
                <w:rFonts w:ascii="宋体" w:hAnsi="宋体" w:eastAsia="宋体" w:cs="Times New Roman"/>
                <w:bCs/>
                <w:sz w:val="24"/>
                <w:szCs w:val="24"/>
                <w:lang w:eastAsia="zh-CN"/>
              </w:rPr>
            </w:pPr>
            <w:r>
              <w:rPr>
                <w:rFonts w:ascii="宋体" w:hAnsi="宋体" w:eastAsia="宋体" w:cs="Times New Roman"/>
                <w:bCs/>
                <w:sz w:val="24"/>
                <w:szCs w:val="24"/>
                <w:lang w:eastAsia="zh-CN"/>
              </w:rPr>
              <w:t>服务方案评分标准</w:t>
            </w:r>
          </w:p>
          <w:p>
            <w:pPr>
              <w:jc w:val="center"/>
              <w:rPr>
                <w:rFonts w:ascii="宋体" w:hAnsi="宋体" w:eastAsia="宋体" w:cs="Times New Roman"/>
                <w:bCs/>
                <w:sz w:val="24"/>
                <w:szCs w:val="24"/>
                <w:lang w:eastAsia="zh-CN"/>
              </w:rPr>
            </w:pPr>
            <w:r>
              <w:rPr>
                <w:rFonts w:ascii="宋体" w:hAnsi="宋体" w:eastAsia="宋体" w:cs="Times New Roman"/>
                <w:bCs/>
                <w:sz w:val="24"/>
                <w:szCs w:val="24"/>
                <w:lang w:eastAsia="zh-CN"/>
              </w:rPr>
              <w:t>（60分）</w:t>
            </w:r>
          </w:p>
        </w:tc>
        <w:tc>
          <w:tcPr>
            <w:tcW w:w="1677" w:type="dxa"/>
            <w:vMerge w:val="restart"/>
            <w:vAlign w:val="center"/>
          </w:tcPr>
          <w:p>
            <w:pPr>
              <w:jc w:val="center"/>
              <w:rPr>
                <w:rFonts w:ascii="宋体" w:hAnsi="宋体" w:eastAsia="宋体" w:cs="Times New Roman"/>
                <w:spacing w:val="12"/>
                <w:sz w:val="24"/>
                <w:szCs w:val="24"/>
                <w:lang w:eastAsia="zh-CN"/>
              </w:rPr>
            </w:pPr>
            <w:r>
              <w:rPr>
                <w:rFonts w:ascii="宋体" w:hAnsi="宋体" w:eastAsia="宋体" w:cs="Times New Roman"/>
                <w:spacing w:val="12"/>
                <w:sz w:val="24"/>
                <w:szCs w:val="24"/>
                <w:lang w:eastAsia="zh-CN"/>
              </w:rPr>
              <w:t>投标</w:t>
            </w:r>
            <w:r>
              <w:rPr>
                <w:rFonts w:hint="eastAsia" w:ascii="宋体" w:hAnsi="宋体" w:eastAsia="宋体" w:cs="Times New Roman"/>
                <w:spacing w:val="12"/>
                <w:sz w:val="24"/>
                <w:szCs w:val="24"/>
                <w:lang w:eastAsia="zh-CN"/>
              </w:rPr>
              <w:t>人综合能力</w:t>
            </w:r>
            <w:r>
              <w:rPr>
                <w:rFonts w:ascii="宋体" w:hAnsi="宋体" w:eastAsia="宋体" w:cs="Times New Roman"/>
                <w:spacing w:val="12"/>
                <w:sz w:val="24"/>
                <w:szCs w:val="24"/>
                <w:lang w:eastAsia="zh-CN"/>
              </w:rPr>
              <w:t>评价</w:t>
            </w:r>
          </w:p>
          <w:p>
            <w:pPr>
              <w:jc w:val="center"/>
              <w:rPr>
                <w:rFonts w:ascii="宋体" w:hAnsi="宋体" w:eastAsia="宋体"/>
                <w:lang w:eastAsia="zh-CN"/>
              </w:rPr>
            </w:pPr>
            <w:r>
              <w:rPr>
                <w:rFonts w:hint="eastAsia" w:ascii="宋体" w:hAnsi="宋体" w:eastAsia="宋体" w:cs="Times New Roman"/>
                <w:bCs/>
                <w:sz w:val="24"/>
                <w:szCs w:val="24"/>
                <w:lang w:eastAsia="zh-CN"/>
              </w:rPr>
              <w:t>(2</w:t>
            </w:r>
            <w:r>
              <w:rPr>
                <w:rFonts w:ascii="宋体" w:hAnsi="宋体" w:eastAsia="宋体" w:cs="Times New Roman"/>
                <w:bCs/>
                <w:sz w:val="24"/>
                <w:szCs w:val="24"/>
                <w:lang w:eastAsia="zh-CN"/>
              </w:rPr>
              <w:t>5</w:t>
            </w:r>
            <w:r>
              <w:rPr>
                <w:rFonts w:hint="eastAsia" w:ascii="宋体" w:hAnsi="宋体" w:eastAsia="宋体" w:cs="Times New Roman"/>
                <w:bCs/>
                <w:sz w:val="24"/>
                <w:szCs w:val="24"/>
                <w:lang w:eastAsia="zh-CN"/>
              </w:rPr>
              <w:t>分)</w:t>
            </w:r>
          </w:p>
        </w:tc>
        <w:tc>
          <w:tcPr>
            <w:tcW w:w="3583" w:type="dxa"/>
            <w:vAlign w:val="center"/>
          </w:tcPr>
          <w:p>
            <w:pPr>
              <w:jc w:val="both"/>
              <w:rPr>
                <w:rFonts w:ascii="宋体" w:hAnsi="宋体" w:eastAsia="宋体" w:cs="Times New Roman"/>
                <w:bCs/>
                <w:sz w:val="24"/>
                <w:szCs w:val="24"/>
                <w:lang w:eastAsia="zh-CN"/>
              </w:rPr>
            </w:pPr>
            <w:r>
              <w:rPr>
                <w:rFonts w:hint="eastAsia" w:ascii="宋体" w:hAnsi="宋体" w:eastAsia="宋体" w:cs="Times New Roman"/>
                <w:spacing w:val="12"/>
                <w:sz w:val="24"/>
                <w:szCs w:val="24"/>
                <w:lang w:eastAsia="zh-CN"/>
              </w:rPr>
              <w:t>质保期限长、故障响应时间短、常驻服务人员多，投标人综合能力强，能很好满足招标文件要求</w:t>
            </w:r>
          </w:p>
        </w:tc>
        <w:tc>
          <w:tcPr>
            <w:tcW w:w="1217" w:type="dxa"/>
            <w:vAlign w:val="center"/>
          </w:tcPr>
          <w:p>
            <w:pPr>
              <w:pStyle w:val="21"/>
              <w:spacing w:before="240" w:after="120"/>
              <w:jc w:val="center"/>
              <w:rPr>
                <w:bCs/>
              </w:rPr>
            </w:pPr>
            <w:r>
              <w:rPr>
                <w:bCs/>
              </w:rPr>
              <w:t>21.0-25.0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continue"/>
            <w:vAlign w:val="center"/>
          </w:tcPr>
          <w:p>
            <w:pPr>
              <w:jc w:val="center"/>
              <w:rPr>
                <w:rFonts w:ascii="宋体" w:hAnsi="宋体" w:eastAsia="宋体" w:cs="Times New Roman"/>
                <w:bCs/>
                <w:sz w:val="24"/>
                <w:szCs w:val="24"/>
              </w:rPr>
            </w:pPr>
          </w:p>
        </w:tc>
        <w:tc>
          <w:tcPr>
            <w:tcW w:w="3583" w:type="dxa"/>
            <w:vAlign w:val="center"/>
          </w:tcPr>
          <w:p>
            <w:pPr>
              <w:jc w:val="both"/>
              <w:rPr>
                <w:rFonts w:ascii="宋体" w:hAnsi="宋体" w:eastAsia="宋体" w:cs="Times New Roman"/>
                <w:bCs/>
                <w:sz w:val="24"/>
                <w:szCs w:val="24"/>
                <w:lang w:eastAsia="zh-CN"/>
              </w:rPr>
            </w:pPr>
            <w:r>
              <w:rPr>
                <w:rFonts w:hint="eastAsia" w:ascii="宋体" w:hAnsi="宋体" w:eastAsia="宋体" w:cs="Times New Roman"/>
                <w:spacing w:val="12"/>
                <w:sz w:val="24"/>
                <w:szCs w:val="24"/>
                <w:lang w:eastAsia="zh-CN"/>
              </w:rPr>
              <w:t>质保期限较长、故障响应时间较短、常驻服务人员较多，投标人综合能力较强，能较好满足招标文件要求</w:t>
            </w:r>
          </w:p>
        </w:tc>
        <w:tc>
          <w:tcPr>
            <w:tcW w:w="1217" w:type="dxa"/>
            <w:vAlign w:val="center"/>
          </w:tcPr>
          <w:p>
            <w:pPr>
              <w:pStyle w:val="21"/>
              <w:spacing w:before="240" w:after="120"/>
              <w:jc w:val="center"/>
              <w:rPr>
                <w:bCs/>
              </w:rPr>
            </w:pPr>
            <w:r>
              <w:rPr>
                <w:bCs/>
              </w:rPr>
              <w:t>18.0-21.0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continue"/>
            <w:vAlign w:val="center"/>
          </w:tcPr>
          <w:p>
            <w:pPr>
              <w:jc w:val="center"/>
              <w:rPr>
                <w:rFonts w:ascii="宋体" w:hAnsi="宋体" w:eastAsia="宋体" w:cs="Times New Roman"/>
                <w:bCs/>
                <w:sz w:val="24"/>
                <w:szCs w:val="24"/>
              </w:rPr>
            </w:pPr>
          </w:p>
        </w:tc>
        <w:tc>
          <w:tcPr>
            <w:tcW w:w="3583" w:type="dxa"/>
            <w:vAlign w:val="center"/>
          </w:tcPr>
          <w:p>
            <w:pPr>
              <w:jc w:val="both"/>
              <w:rPr>
                <w:rFonts w:ascii="宋体" w:hAnsi="宋体" w:eastAsia="宋体" w:cs="Times New Roman"/>
                <w:bCs/>
                <w:sz w:val="24"/>
                <w:szCs w:val="24"/>
                <w:lang w:eastAsia="zh-CN"/>
              </w:rPr>
            </w:pPr>
            <w:r>
              <w:rPr>
                <w:rFonts w:hint="eastAsia" w:ascii="宋体" w:hAnsi="宋体" w:eastAsia="宋体" w:cs="Times New Roman"/>
                <w:spacing w:val="12"/>
                <w:sz w:val="24"/>
                <w:szCs w:val="24"/>
                <w:lang w:eastAsia="zh-CN"/>
              </w:rPr>
              <w:t>质保期限短、故障响应时间长、常驻服务人少，投标人综合能力一般，满足招标文件要求</w:t>
            </w:r>
          </w:p>
        </w:tc>
        <w:tc>
          <w:tcPr>
            <w:tcW w:w="1217" w:type="dxa"/>
            <w:vAlign w:val="center"/>
          </w:tcPr>
          <w:p>
            <w:pPr>
              <w:pStyle w:val="21"/>
              <w:spacing w:before="240" w:after="120"/>
              <w:jc w:val="center"/>
              <w:rPr>
                <w:bCs/>
              </w:rPr>
            </w:pPr>
            <w:r>
              <w:rPr>
                <w:bCs/>
              </w:rPr>
              <w:t>15.0-18.0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restart"/>
            <w:vAlign w:val="center"/>
          </w:tcPr>
          <w:p>
            <w:pPr>
              <w:jc w:val="center"/>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车辆主要配置及</w:t>
            </w:r>
            <w:r>
              <w:rPr>
                <w:rFonts w:ascii="宋体" w:hAnsi="宋体" w:eastAsia="宋体" w:cs="Times New Roman"/>
                <w:spacing w:val="12"/>
                <w:sz w:val="24"/>
                <w:szCs w:val="24"/>
                <w:lang w:eastAsia="zh-CN"/>
              </w:rPr>
              <w:t>投标设备技术性能指标的响应程度</w:t>
            </w:r>
            <w:r>
              <w:rPr>
                <w:rFonts w:hint="eastAsia" w:ascii="宋体" w:hAnsi="宋体" w:eastAsia="宋体" w:cs="Times New Roman"/>
                <w:spacing w:val="12"/>
                <w:sz w:val="24"/>
                <w:szCs w:val="24"/>
                <w:lang w:eastAsia="zh-CN"/>
              </w:rPr>
              <w:t>评价</w:t>
            </w:r>
          </w:p>
          <w:p>
            <w:pPr>
              <w:jc w:val="center"/>
              <w:rPr>
                <w:rFonts w:ascii="宋体" w:hAnsi="宋体" w:eastAsia="宋体" w:cs="Times New Roman"/>
                <w:spacing w:val="12"/>
                <w:sz w:val="24"/>
                <w:szCs w:val="24"/>
                <w:lang w:eastAsia="zh-CN"/>
              </w:rPr>
            </w:pPr>
            <w:r>
              <w:rPr>
                <w:rFonts w:hint="eastAsia" w:ascii="宋体" w:hAnsi="宋体" w:eastAsia="宋体" w:cs="Times New Roman"/>
                <w:bCs/>
                <w:sz w:val="24"/>
                <w:szCs w:val="24"/>
                <w:lang w:eastAsia="zh-CN"/>
              </w:rPr>
              <w:t>（1</w:t>
            </w:r>
            <w:r>
              <w:rPr>
                <w:rFonts w:ascii="宋体" w:hAnsi="宋体" w:eastAsia="宋体" w:cs="Times New Roman"/>
                <w:bCs/>
                <w:sz w:val="24"/>
                <w:szCs w:val="24"/>
                <w:lang w:eastAsia="zh-CN"/>
              </w:rPr>
              <w:t>5</w:t>
            </w:r>
            <w:r>
              <w:rPr>
                <w:rFonts w:hint="eastAsia" w:ascii="宋体" w:hAnsi="宋体" w:eastAsia="宋体" w:cs="Times New Roman"/>
                <w:bCs/>
                <w:sz w:val="24"/>
                <w:szCs w:val="24"/>
                <w:lang w:eastAsia="zh-CN"/>
              </w:rPr>
              <w:t>分）</w:t>
            </w:r>
          </w:p>
        </w:tc>
        <w:tc>
          <w:tcPr>
            <w:tcW w:w="3583" w:type="dxa"/>
            <w:vAlign w:val="center"/>
          </w:tcPr>
          <w:p>
            <w:pPr>
              <w:jc w:val="both"/>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车辆功能配置齐全、实用性强、外观、内饰、工艺好，主要零部件的性能参数高</w:t>
            </w:r>
          </w:p>
        </w:tc>
        <w:tc>
          <w:tcPr>
            <w:tcW w:w="1217" w:type="dxa"/>
            <w:vAlign w:val="center"/>
          </w:tcPr>
          <w:p>
            <w:pPr>
              <w:pStyle w:val="21"/>
              <w:spacing w:before="240" w:after="120"/>
              <w:jc w:val="center"/>
              <w:rPr>
                <w:bCs/>
              </w:rPr>
            </w:pPr>
            <w:r>
              <w:rPr>
                <w:rFonts w:hint="eastAsia"/>
                <w:bCs/>
              </w:rPr>
              <w:t>1</w:t>
            </w:r>
            <w:r>
              <w:rPr>
                <w:bCs/>
              </w:rPr>
              <w:t>3</w:t>
            </w:r>
            <w:r>
              <w:rPr>
                <w:rFonts w:hint="eastAsia"/>
                <w:bCs/>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continue"/>
            <w:vAlign w:val="center"/>
          </w:tcPr>
          <w:p>
            <w:pPr>
              <w:jc w:val="center"/>
              <w:rPr>
                <w:rFonts w:ascii="宋体" w:hAnsi="宋体" w:eastAsia="宋体" w:cs="Times New Roman"/>
                <w:spacing w:val="12"/>
                <w:sz w:val="24"/>
                <w:szCs w:val="24"/>
                <w:lang w:eastAsia="zh-CN"/>
              </w:rPr>
            </w:pPr>
          </w:p>
        </w:tc>
        <w:tc>
          <w:tcPr>
            <w:tcW w:w="3583" w:type="dxa"/>
            <w:vAlign w:val="center"/>
          </w:tcPr>
          <w:p>
            <w:pPr>
              <w:jc w:val="both"/>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车辆功能配置较齐全、实用性较强、外观、内饰、工艺较好，主要零部件的性能参数较高</w:t>
            </w:r>
          </w:p>
        </w:tc>
        <w:tc>
          <w:tcPr>
            <w:tcW w:w="1217" w:type="dxa"/>
            <w:vAlign w:val="center"/>
          </w:tcPr>
          <w:p>
            <w:pPr>
              <w:pStyle w:val="21"/>
              <w:spacing w:before="240" w:after="120"/>
              <w:jc w:val="center"/>
              <w:rPr>
                <w:bCs/>
              </w:rPr>
            </w:pPr>
            <w:r>
              <w:rPr>
                <w:bCs/>
              </w:rPr>
              <w:t>11</w:t>
            </w:r>
            <w:r>
              <w:rPr>
                <w:rFonts w:hint="eastAsia"/>
                <w:bCs/>
              </w:rPr>
              <w:t>.</w:t>
            </w:r>
            <w:r>
              <w:rPr>
                <w:bCs/>
              </w:rPr>
              <w:t>0</w:t>
            </w:r>
            <w:r>
              <w:rPr>
                <w:rFonts w:hint="eastAsia"/>
                <w:bCs/>
              </w:rPr>
              <w:t>-1</w:t>
            </w:r>
            <w:r>
              <w:rPr>
                <w:bCs/>
              </w:rPr>
              <w:t>3</w:t>
            </w:r>
            <w:r>
              <w:rPr>
                <w:rFonts w:hint="eastAsia"/>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continue"/>
            <w:vAlign w:val="center"/>
          </w:tcPr>
          <w:p>
            <w:pPr>
              <w:jc w:val="center"/>
              <w:rPr>
                <w:rFonts w:ascii="宋体" w:hAnsi="宋体" w:eastAsia="宋体" w:cs="Times New Roman"/>
                <w:spacing w:val="12"/>
                <w:sz w:val="24"/>
                <w:szCs w:val="24"/>
                <w:lang w:eastAsia="zh-CN"/>
              </w:rPr>
            </w:pPr>
          </w:p>
        </w:tc>
        <w:tc>
          <w:tcPr>
            <w:tcW w:w="3583" w:type="dxa"/>
            <w:vAlign w:val="center"/>
          </w:tcPr>
          <w:p>
            <w:pPr>
              <w:jc w:val="both"/>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车辆功能配置一般、实用性一般、外观、内饰、工艺一般，主要零部件的性能参数一般</w:t>
            </w:r>
          </w:p>
        </w:tc>
        <w:tc>
          <w:tcPr>
            <w:tcW w:w="1217" w:type="dxa"/>
            <w:vAlign w:val="center"/>
          </w:tcPr>
          <w:p>
            <w:pPr>
              <w:pStyle w:val="21"/>
              <w:spacing w:before="240" w:after="120"/>
              <w:jc w:val="center"/>
              <w:rPr>
                <w:bCs/>
              </w:rPr>
            </w:pPr>
            <w:r>
              <w:rPr>
                <w:rFonts w:hint="eastAsia"/>
                <w:bCs/>
              </w:rPr>
              <w:t>9.0</w:t>
            </w:r>
            <w:r>
              <w:rPr>
                <w:bC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restart"/>
            <w:vAlign w:val="center"/>
          </w:tcPr>
          <w:p>
            <w:pPr>
              <w:jc w:val="center"/>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交货期服务方案及服务能力评价</w:t>
            </w:r>
          </w:p>
          <w:p>
            <w:pPr>
              <w:jc w:val="center"/>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(10分)</w:t>
            </w:r>
          </w:p>
        </w:tc>
        <w:tc>
          <w:tcPr>
            <w:tcW w:w="3583" w:type="dxa"/>
            <w:vAlign w:val="center"/>
          </w:tcPr>
          <w:p>
            <w:pPr>
              <w:jc w:val="both"/>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配送及时、安全可靠、有良好的相关配套增值服务方案</w:t>
            </w:r>
          </w:p>
        </w:tc>
        <w:tc>
          <w:tcPr>
            <w:tcW w:w="1217" w:type="dxa"/>
            <w:vAlign w:val="center"/>
          </w:tcPr>
          <w:p>
            <w:pPr>
              <w:pStyle w:val="21"/>
              <w:spacing w:before="240" w:after="120"/>
              <w:jc w:val="center"/>
              <w:rPr>
                <w:bCs/>
              </w:rPr>
            </w:pPr>
            <w:r>
              <w:rPr>
                <w:bCs/>
              </w:rPr>
              <w:t>9.0-</w:t>
            </w:r>
            <w:r>
              <w:rPr>
                <w:rFonts w:hint="eastAsia"/>
                <w:bCs/>
              </w:rPr>
              <w:t>1</w:t>
            </w:r>
            <w:r>
              <w:rPr>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continue"/>
            <w:vAlign w:val="center"/>
          </w:tcPr>
          <w:p>
            <w:pPr>
              <w:jc w:val="center"/>
              <w:rPr>
                <w:rFonts w:ascii="宋体" w:hAnsi="宋体" w:eastAsia="宋体" w:cs="Times New Roman"/>
                <w:bCs/>
                <w:sz w:val="24"/>
                <w:szCs w:val="24"/>
              </w:rPr>
            </w:pPr>
          </w:p>
        </w:tc>
        <w:tc>
          <w:tcPr>
            <w:tcW w:w="3583" w:type="dxa"/>
            <w:vAlign w:val="center"/>
          </w:tcPr>
          <w:p>
            <w:pPr>
              <w:jc w:val="both"/>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配送较及时、较安全可靠、有较好的相关配套增值服务方案</w:t>
            </w:r>
          </w:p>
        </w:tc>
        <w:tc>
          <w:tcPr>
            <w:tcW w:w="1217" w:type="dxa"/>
            <w:vAlign w:val="center"/>
          </w:tcPr>
          <w:p>
            <w:pPr>
              <w:pStyle w:val="21"/>
              <w:spacing w:before="240" w:after="120"/>
              <w:jc w:val="center"/>
              <w:rPr>
                <w:bCs/>
              </w:rPr>
            </w:pPr>
            <w:r>
              <w:rPr>
                <w:bCs/>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continue"/>
            <w:vAlign w:val="center"/>
          </w:tcPr>
          <w:p>
            <w:pPr>
              <w:jc w:val="center"/>
              <w:rPr>
                <w:rFonts w:ascii="宋体" w:hAnsi="宋体" w:eastAsia="宋体" w:cs="Times New Roman"/>
                <w:bCs/>
                <w:sz w:val="24"/>
                <w:szCs w:val="24"/>
              </w:rPr>
            </w:pPr>
          </w:p>
        </w:tc>
        <w:tc>
          <w:tcPr>
            <w:tcW w:w="3583" w:type="dxa"/>
            <w:vAlign w:val="center"/>
          </w:tcPr>
          <w:p>
            <w:pPr>
              <w:jc w:val="both"/>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配送时效性一般、安全可靠性一般、相关配套增值服务方案一般</w:t>
            </w:r>
          </w:p>
        </w:tc>
        <w:tc>
          <w:tcPr>
            <w:tcW w:w="1217" w:type="dxa"/>
            <w:vAlign w:val="center"/>
          </w:tcPr>
          <w:p>
            <w:pPr>
              <w:pStyle w:val="21"/>
              <w:spacing w:before="240" w:after="120"/>
              <w:jc w:val="center"/>
              <w:rPr>
                <w:bCs/>
              </w:rPr>
            </w:pPr>
            <w:r>
              <w:rPr>
                <w:rFonts w:hint="eastAsia"/>
                <w:bCs/>
              </w:rPr>
              <w:t>6</w:t>
            </w:r>
            <w:r>
              <w:rPr>
                <w:bC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restart"/>
            <w:vAlign w:val="center"/>
          </w:tcPr>
          <w:p>
            <w:pPr>
              <w:wordWrap w:val="0"/>
              <w:adjustRightInd w:val="0"/>
              <w:snapToGrid w:val="0"/>
              <w:spacing w:line="300" w:lineRule="exact"/>
              <w:jc w:val="center"/>
              <w:rPr>
                <w:rFonts w:ascii="宋体" w:hAnsi="宋体" w:eastAsia="宋体" w:cs="Times New Roman"/>
                <w:sz w:val="24"/>
                <w:szCs w:val="24"/>
                <w:shd w:val="clear" w:color="auto" w:fill="FFFFFF"/>
                <w:lang w:eastAsia="zh-CN"/>
              </w:rPr>
            </w:pPr>
            <w:r>
              <w:rPr>
                <w:rFonts w:ascii="宋体" w:hAnsi="宋体" w:eastAsia="宋体" w:cs="Times New Roman"/>
                <w:sz w:val="24"/>
                <w:szCs w:val="24"/>
                <w:shd w:val="clear" w:color="auto" w:fill="FFFFFF"/>
                <w:lang w:eastAsia="zh-CN"/>
              </w:rPr>
              <w:t>技术服务和质保期服务能力的评价</w:t>
            </w:r>
          </w:p>
          <w:p>
            <w:pPr>
              <w:wordWrap w:val="0"/>
              <w:adjustRightInd w:val="0"/>
              <w:snapToGrid w:val="0"/>
              <w:spacing w:line="300" w:lineRule="exact"/>
              <w:jc w:val="center"/>
              <w:rPr>
                <w:rFonts w:ascii="宋体" w:hAnsi="宋体" w:eastAsia="宋体" w:cs="Times New Roman"/>
                <w:bCs/>
                <w:sz w:val="24"/>
                <w:szCs w:val="24"/>
                <w:lang w:eastAsia="zh-CN"/>
              </w:rPr>
            </w:pPr>
            <w:r>
              <w:rPr>
                <w:rFonts w:hint="eastAsia" w:ascii="宋体" w:hAnsi="宋体" w:eastAsia="宋体" w:cs="Times New Roman"/>
                <w:bCs/>
                <w:sz w:val="24"/>
                <w:szCs w:val="24"/>
                <w:lang w:eastAsia="zh-CN"/>
              </w:rPr>
              <w:t>(10分)</w:t>
            </w:r>
          </w:p>
        </w:tc>
        <w:tc>
          <w:tcPr>
            <w:tcW w:w="3583" w:type="dxa"/>
            <w:vAlign w:val="center"/>
          </w:tcPr>
          <w:p>
            <w:pPr>
              <w:jc w:val="both"/>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技术服务能力、维保能力强，优惠政策好、有良好的保养检测等售后服务</w:t>
            </w:r>
          </w:p>
        </w:tc>
        <w:tc>
          <w:tcPr>
            <w:tcW w:w="1217" w:type="dxa"/>
            <w:vAlign w:val="center"/>
          </w:tcPr>
          <w:p>
            <w:pPr>
              <w:pStyle w:val="21"/>
              <w:spacing w:before="240" w:after="120"/>
              <w:jc w:val="center"/>
              <w:rPr>
                <w:bCs/>
              </w:rPr>
            </w:pPr>
            <w:r>
              <w:rPr>
                <w:bCs/>
              </w:rPr>
              <w:t>9.0-</w:t>
            </w:r>
            <w:r>
              <w:rPr>
                <w:rFonts w:hint="eastAsia"/>
                <w:bCs/>
              </w:rPr>
              <w:t>1</w:t>
            </w:r>
            <w:r>
              <w:rPr>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continue"/>
            <w:vAlign w:val="center"/>
          </w:tcPr>
          <w:p>
            <w:pPr>
              <w:jc w:val="center"/>
              <w:rPr>
                <w:rFonts w:ascii="宋体" w:hAnsi="宋体" w:eastAsia="宋体" w:cs="Times New Roman"/>
                <w:bCs/>
                <w:sz w:val="24"/>
                <w:szCs w:val="24"/>
              </w:rPr>
            </w:pPr>
          </w:p>
        </w:tc>
        <w:tc>
          <w:tcPr>
            <w:tcW w:w="3583" w:type="dxa"/>
            <w:vAlign w:val="center"/>
          </w:tcPr>
          <w:p>
            <w:pPr>
              <w:jc w:val="both"/>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技术服务能力、维保能力较强，优惠政策较好、有较好的保养检测等售后服务</w:t>
            </w:r>
          </w:p>
        </w:tc>
        <w:tc>
          <w:tcPr>
            <w:tcW w:w="1217" w:type="dxa"/>
            <w:vAlign w:val="center"/>
          </w:tcPr>
          <w:p>
            <w:pPr>
              <w:pStyle w:val="21"/>
              <w:spacing w:before="240" w:after="120"/>
              <w:jc w:val="center"/>
              <w:rPr>
                <w:bCs/>
              </w:rPr>
            </w:pPr>
            <w:r>
              <w:rPr>
                <w:bCs/>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宋体" w:hAnsi="宋体" w:eastAsia="宋体" w:cs="Times New Roman"/>
                <w:bCs/>
                <w:sz w:val="24"/>
                <w:szCs w:val="24"/>
              </w:rPr>
            </w:pPr>
          </w:p>
        </w:tc>
        <w:tc>
          <w:tcPr>
            <w:tcW w:w="785" w:type="dxa"/>
            <w:vMerge w:val="continue"/>
            <w:vAlign w:val="center"/>
          </w:tcPr>
          <w:p>
            <w:pPr>
              <w:jc w:val="center"/>
              <w:rPr>
                <w:rFonts w:ascii="宋体" w:hAnsi="宋体" w:eastAsia="宋体" w:cs="Times New Roman"/>
                <w:bCs/>
                <w:sz w:val="24"/>
                <w:szCs w:val="24"/>
              </w:rPr>
            </w:pPr>
          </w:p>
        </w:tc>
        <w:tc>
          <w:tcPr>
            <w:tcW w:w="1128" w:type="dxa"/>
            <w:vMerge w:val="continue"/>
            <w:vAlign w:val="center"/>
          </w:tcPr>
          <w:p>
            <w:pPr>
              <w:jc w:val="center"/>
              <w:rPr>
                <w:rFonts w:ascii="宋体" w:hAnsi="宋体" w:eastAsia="宋体" w:cs="Times New Roman"/>
                <w:bCs/>
                <w:sz w:val="24"/>
                <w:szCs w:val="24"/>
              </w:rPr>
            </w:pPr>
          </w:p>
        </w:tc>
        <w:tc>
          <w:tcPr>
            <w:tcW w:w="1677" w:type="dxa"/>
            <w:vMerge w:val="continue"/>
            <w:vAlign w:val="center"/>
          </w:tcPr>
          <w:p>
            <w:pPr>
              <w:jc w:val="center"/>
              <w:rPr>
                <w:rFonts w:ascii="宋体" w:hAnsi="宋体" w:eastAsia="宋体" w:cs="Times New Roman"/>
                <w:bCs/>
                <w:sz w:val="24"/>
                <w:szCs w:val="24"/>
              </w:rPr>
            </w:pPr>
          </w:p>
        </w:tc>
        <w:tc>
          <w:tcPr>
            <w:tcW w:w="3583" w:type="dxa"/>
            <w:vAlign w:val="center"/>
          </w:tcPr>
          <w:p>
            <w:pPr>
              <w:jc w:val="both"/>
              <w:rPr>
                <w:rFonts w:ascii="宋体" w:hAnsi="宋体" w:eastAsia="宋体" w:cs="Times New Roman"/>
                <w:spacing w:val="12"/>
                <w:sz w:val="24"/>
                <w:szCs w:val="24"/>
                <w:lang w:eastAsia="zh-CN"/>
              </w:rPr>
            </w:pPr>
            <w:r>
              <w:rPr>
                <w:rFonts w:hint="eastAsia" w:ascii="宋体" w:hAnsi="宋体" w:eastAsia="宋体" w:cs="Times New Roman"/>
                <w:spacing w:val="12"/>
                <w:sz w:val="24"/>
                <w:szCs w:val="24"/>
                <w:lang w:eastAsia="zh-CN"/>
              </w:rPr>
              <w:t>技术服务能力、维保能力一般，优惠政策一般、保养检测等售后服务一般</w:t>
            </w:r>
          </w:p>
        </w:tc>
        <w:tc>
          <w:tcPr>
            <w:tcW w:w="1217" w:type="dxa"/>
            <w:vAlign w:val="center"/>
          </w:tcPr>
          <w:p>
            <w:pPr>
              <w:pStyle w:val="21"/>
              <w:spacing w:before="240" w:after="120"/>
              <w:jc w:val="center"/>
              <w:rPr>
                <w:bCs/>
              </w:rPr>
            </w:pPr>
            <w:r>
              <w:rPr>
                <w:rFonts w:hint="eastAsia"/>
                <w:bCs/>
              </w:rPr>
              <w:t>6</w:t>
            </w:r>
            <w:r>
              <w:rPr>
                <w:bC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1" w:type="dxa"/>
            <w:vAlign w:val="center"/>
          </w:tcPr>
          <w:p>
            <w:pPr>
              <w:jc w:val="center"/>
              <w:rPr>
                <w:rFonts w:ascii="宋体" w:hAnsi="宋体" w:eastAsia="宋体" w:cs="Times New Roman"/>
                <w:bCs/>
                <w:sz w:val="24"/>
                <w:szCs w:val="24"/>
              </w:rPr>
            </w:pPr>
            <w:r>
              <w:rPr>
                <w:rFonts w:ascii="宋体" w:hAnsi="宋体" w:eastAsia="宋体" w:cs="Times New Roman"/>
                <w:bCs/>
                <w:sz w:val="24"/>
                <w:szCs w:val="24"/>
              </w:rPr>
              <w:t>投标报价</w:t>
            </w:r>
          </w:p>
        </w:tc>
        <w:tc>
          <w:tcPr>
            <w:tcW w:w="1913" w:type="dxa"/>
            <w:gridSpan w:val="2"/>
            <w:vAlign w:val="center"/>
          </w:tcPr>
          <w:p>
            <w:pPr>
              <w:jc w:val="center"/>
              <w:rPr>
                <w:rFonts w:ascii="宋体" w:hAnsi="宋体" w:eastAsia="宋体" w:cs="Times New Roman"/>
                <w:bCs/>
                <w:sz w:val="24"/>
                <w:szCs w:val="24"/>
              </w:rPr>
            </w:pPr>
            <w:r>
              <w:rPr>
                <w:rFonts w:ascii="宋体" w:hAnsi="宋体" w:eastAsia="宋体" w:cs="Times New Roman"/>
                <w:bCs/>
                <w:sz w:val="24"/>
                <w:szCs w:val="24"/>
              </w:rPr>
              <w:t>2.3.4（</w:t>
            </w:r>
            <w:r>
              <w:rPr>
                <w:rFonts w:ascii="宋体" w:hAnsi="宋体" w:eastAsia="宋体" w:cs="Times New Roman"/>
                <w:bCs/>
                <w:sz w:val="24"/>
                <w:szCs w:val="24"/>
                <w:lang w:eastAsia="zh-CN"/>
              </w:rPr>
              <w:t>2</w:t>
            </w:r>
            <w:r>
              <w:rPr>
                <w:rFonts w:ascii="宋体" w:hAnsi="宋体" w:eastAsia="宋体" w:cs="Times New Roman"/>
                <w:bCs/>
                <w:sz w:val="24"/>
                <w:szCs w:val="24"/>
              </w:rPr>
              <w:t>）</w:t>
            </w:r>
          </w:p>
        </w:tc>
        <w:tc>
          <w:tcPr>
            <w:tcW w:w="1677" w:type="dxa"/>
            <w:vAlign w:val="center"/>
          </w:tcPr>
          <w:p>
            <w:pPr>
              <w:jc w:val="center"/>
              <w:rPr>
                <w:rFonts w:ascii="宋体" w:hAnsi="宋体" w:eastAsia="宋体" w:cs="Times New Roman"/>
                <w:bCs/>
                <w:sz w:val="24"/>
                <w:szCs w:val="24"/>
                <w:lang w:eastAsia="zh-CN"/>
              </w:rPr>
            </w:pPr>
            <w:r>
              <w:rPr>
                <w:rFonts w:ascii="宋体" w:hAnsi="宋体" w:eastAsia="宋体" w:cs="Times New Roman"/>
                <w:bCs/>
                <w:sz w:val="24"/>
                <w:szCs w:val="24"/>
                <w:lang w:eastAsia="zh-CN"/>
              </w:rPr>
              <w:t>投标报价评分</w:t>
            </w:r>
          </w:p>
          <w:p>
            <w:pPr>
              <w:jc w:val="center"/>
              <w:rPr>
                <w:rFonts w:ascii="宋体" w:hAnsi="宋体" w:eastAsia="宋体" w:cs="Times New Roman"/>
                <w:bCs/>
                <w:sz w:val="24"/>
                <w:szCs w:val="24"/>
                <w:lang w:eastAsia="zh-CN"/>
              </w:rPr>
            </w:pPr>
            <w:r>
              <w:rPr>
                <w:rFonts w:ascii="宋体" w:hAnsi="宋体" w:eastAsia="宋体" w:cs="Times New Roman"/>
                <w:bCs/>
                <w:sz w:val="24"/>
                <w:szCs w:val="24"/>
                <w:lang w:eastAsia="zh-CN"/>
              </w:rPr>
              <w:t>标准</w:t>
            </w:r>
          </w:p>
          <w:p>
            <w:pPr>
              <w:jc w:val="center"/>
              <w:rPr>
                <w:rFonts w:ascii="宋体" w:hAnsi="宋体" w:eastAsia="宋体" w:cs="Times New Roman"/>
                <w:bCs/>
                <w:sz w:val="24"/>
                <w:szCs w:val="24"/>
                <w:lang w:eastAsia="zh-CN"/>
              </w:rPr>
            </w:pPr>
            <w:r>
              <w:rPr>
                <w:rFonts w:ascii="宋体" w:hAnsi="宋体" w:eastAsia="宋体" w:cs="Times New Roman"/>
                <w:bCs/>
                <w:sz w:val="24"/>
                <w:szCs w:val="24"/>
                <w:lang w:eastAsia="zh-CN"/>
              </w:rPr>
              <w:t>（40分）</w:t>
            </w:r>
          </w:p>
        </w:tc>
        <w:tc>
          <w:tcPr>
            <w:tcW w:w="4800" w:type="dxa"/>
            <w:gridSpan w:val="2"/>
            <w:vAlign w:val="center"/>
          </w:tcPr>
          <w:p>
            <w:pPr>
              <w:rPr>
                <w:rFonts w:ascii="宋体" w:hAnsi="宋体" w:eastAsia="宋体" w:cs="Times New Roman"/>
                <w:sz w:val="24"/>
                <w:szCs w:val="24"/>
                <w:lang w:eastAsia="zh-CN"/>
              </w:rPr>
            </w:pPr>
            <w:r>
              <w:rPr>
                <w:rFonts w:ascii="宋体" w:hAnsi="宋体" w:eastAsia="宋体" w:cs="Times New Roman"/>
                <w:sz w:val="24"/>
                <w:szCs w:val="24"/>
                <w:lang w:eastAsia="zh-CN"/>
              </w:rPr>
              <w:t>投标报价得分计算公式：</w:t>
            </w:r>
          </w:p>
          <w:p>
            <w:pPr>
              <w:rPr>
                <w:rFonts w:ascii="宋体" w:hAnsi="宋体" w:eastAsia="宋体" w:cs="Times New Roman"/>
                <w:sz w:val="24"/>
                <w:szCs w:val="24"/>
                <w:lang w:eastAsia="zh-CN"/>
              </w:rPr>
            </w:pPr>
            <w:r>
              <w:rPr>
                <w:rFonts w:ascii="宋体" w:hAnsi="宋体" w:eastAsia="宋体" w:cs="Times New Roman"/>
                <w:sz w:val="24"/>
                <w:szCs w:val="24"/>
                <w:lang w:eastAsia="zh-CN"/>
              </w:rPr>
              <w:t>(1)如果投标人的有效投标报价＞评标基准价，则投标报价得分=40-偏差率×100×E1；</w:t>
            </w:r>
          </w:p>
          <w:p>
            <w:pPr>
              <w:rPr>
                <w:rFonts w:ascii="宋体" w:hAnsi="宋体" w:eastAsia="宋体" w:cs="Times New Roman"/>
                <w:sz w:val="24"/>
                <w:szCs w:val="24"/>
                <w:lang w:eastAsia="zh-CN"/>
              </w:rPr>
            </w:pPr>
            <w:r>
              <w:rPr>
                <w:rFonts w:ascii="宋体" w:hAnsi="宋体" w:eastAsia="宋体" w:cs="Times New Roman"/>
                <w:sz w:val="24"/>
                <w:szCs w:val="24"/>
                <w:lang w:eastAsia="zh-CN"/>
              </w:rPr>
              <w:t>(2)如果投标人的有效投标报价≤评标基准价，则投标报价得分=40+偏差率×100×E2。</w:t>
            </w:r>
          </w:p>
          <w:p>
            <w:pPr>
              <w:rPr>
                <w:rFonts w:ascii="宋体" w:hAnsi="宋体" w:eastAsia="宋体" w:cs="Times New Roman"/>
                <w:sz w:val="24"/>
                <w:szCs w:val="24"/>
                <w:lang w:eastAsia="zh-CN"/>
              </w:rPr>
            </w:pPr>
            <w:r>
              <w:rPr>
                <w:rFonts w:ascii="宋体" w:hAnsi="宋体" w:eastAsia="宋体" w:cs="Times New Roman"/>
                <w:sz w:val="24"/>
                <w:szCs w:val="24"/>
                <w:lang w:eastAsia="zh-CN"/>
              </w:rPr>
              <w:t>其中：</w:t>
            </w:r>
          </w:p>
          <w:p>
            <w:pPr>
              <w:rPr>
                <w:rFonts w:ascii="宋体" w:hAnsi="宋体" w:eastAsia="宋体" w:cs="Times New Roman"/>
                <w:sz w:val="24"/>
                <w:szCs w:val="24"/>
                <w:lang w:eastAsia="zh-CN"/>
              </w:rPr>
            </w:pPr>
            <w:r>
              <w:rPr>
                <w:rFonts w:ascii="宋体" w:hAnsi="宋体" w:eastAsia="宋体" w:cs="Times New Roman"/>
                <w:sz w:val="24"/>
                <w:szCs w:val="24"/>
                <w:lang w:eastAsia="zh-CN"/>
              </w:rPr>
              <w:t>E1是有效投标报价每高于评标基准价一个百分点的扣分值，E1＝0.</w:t>
            </w:r>
            <w:r>
              <w:rPr>
                <w:rFonts w:hint="eastAsia" w:ascii="宋体" w:hAnsi="宋体" w:eastAsia="宋体" w:cs="Times New Roman"/>
                <w:sz w:val="24"/>
                <w:szCs w:val="24"/>
                <w:lang w:eastAsia="zh-CN"/>
              </w:rPr>
              <w:t>2</w:t>
            </w:r>
            <w:r>
              <w:rPr>
                <w:rFonts w:ascii="宋体" w:hAnsi="宋体" w:eastAsia="宋体" w:cs="Times New Roman"/>
                <w:sz w:val="24"/>
                <w:szCs w:val="24"/>
                <w:lang w:eastAsia="zh-CN"/>
              </w:rPr>
              <w:t>；</w:t>
            </w:r>
          </w:p>
          <w:p>
            <w:pPr>
              <w:rPr>
                <w:rFonts w:ascii="宋体" w:hAnsi="宋体" w:eastAsia="宋体" w:cs="Times New Roman"/>
                <w:sz w:val="24"/>
                <w:szCs w:val="24"/>
                <w:lang w:eastAsia="zh-CN"/>
              </w:rPr>
            </w:pPr>
            <w:r>
              <w:rPr>
                <w:rFonts w:ascii="宋体" w:hAnsi="宋体" w:eastAsia="宋体" w:cs="Times New Roman"/>
                <w:sz w:val="24"/>
                <w:szCs w:val="24"/>
                <w:lang w:eastAsia="zh-CN"/>
              </w:rPr>
              <w:t>E2是有效投标报价每低于评标基准价一个百分点的扣分值，E2＝0.</w:t>
            </w:r>
            <w:r>
              <w:rPr>
                <w:rFonts w:hint="eastAsia" w:ascii="宋体" w:hAnsi="宋体" w:eastAsia="宋体" w:cs="Times New Roman"/>
                <w:sz w:val="24"/>
                <w:szCs w:val="24"/>
                <w:lang w:eastAsia="zh-CN"/>
              </w:rPr>
              <w:t>1</w:t>
            </w:r>
            <w:r>
              <w:rPr>
                <w:rFonts w:ascii="宋体" w:hAnsi="宋体" w:eastAsia="宋体" w:cs="Times New Roman"/>
                <w:sz w:val="24"/>
                <w:szCs w:val="24"/>
                <w:lang w:eastAsia="zh-CN"/>
              </w:rPr>
              <w:t>。</w:t>
            </w:r>
          </w:p>
          <w:p>
            <w:pPr>
              <w:rPr>
                <w:rFonts w:ascii="宋体" w:hAnsi="宋体" w:eastAsia="宋体" w:cs="Times New Roman"/>
                <w:sz w:val="24"/>
                <w:szCs w:val="24"/>
                <w:lang w:eastAsia="zh-CN"/>
              </w:rPr>
            </w:pPr>
            <w:r>
              <w:rPr>
                <w:rFonts w:ascii="宋体" w:hAnsi="宋体" w:eastAsia="宋体" w:cs="Times New Roman"/>
                <w:sz w:val="24"/>
                <w:szCs w:val="24"/>
                <w:lang w:eastAsia="zh-CN"/>
              </w:rPr>
              <w:t>投标价最低得分为0分。投标报价得分保留小数点后两位，小数点后第三位“四舍五入”。</w:t>
            </w:r>
          </w:p>
        </w:tc>
      </w:tr>
    </w:tbl>
    <w:p>
      <w:pPr>
        <w:adjustRightInd w:val="0"/>
        <w:spacing w:line="400" w:lineRule="exact"/>
        <w:rPr>
          <w:rFonts w:ascii="宋体" w:hAnsi="宋体" w:eastAsia="宋体"/>
          <w:sz w:val="24"/>
          <w:lang w:eastAsia="zh-CN"/>
        </w:rPr>
      </w:pPr>
      <w:r>
        <w:rPr>
          <w:rFonts w:hint="eastAsia" w:ascii="宋体" w:hAnsi="宋体" w:eastAsia="宋体"/>
          <w:sz w:val="24"/>
          <w:lang w:eastAsia="zh-CN"/>
        </w:rPr>
        <w:t>注：1、评审因素得分应以评标委员会各成员的打分平均值确定；</w:t>
      </w:r>
    </w:p>
    <w:p>
      <w:pPr>
        <w:adjustRightInd w:val="0"/>
        <w:spacing w:line="400" w:lineRule="exact"/>
        <w:ind w:firstLine="480" w:firstLineChars="200"/>
        <w:rPr>
          <w:rFonts w:ascii="宋体" w:hAnsi="宋体" w:eastAsia="宋体"/>
          <w:sz w:val="24"/>
          <w:lang w:eastAsia="zh-CN"/>
        </w:rPr>
      </w:pPr>
      <w:r>
        <w:rPr>
          <w:rFonts w:hint="eastAsia" w:ascii="宋体" w:hAnsi="宋体" w:eastAsia="宋体"/>
          <w:sz w:val="24"/>
          <w:lang w:eastAsia="zh-CN"/>
        </w:rPr>
        <w:t>2、服务方案各评分因素细分项的细分项缺项则该项得0分；</w:t>
      </w:r>
    </w:p>
    <w:p>
      <w:pPr>
        <w:adjustRightInd w:val="0"/>
        <w:spacing w:line="400" w:lineRule="exact"/>
        <w:ind w:firstLine="480" w:firstLineChars="200"/>
        <w:rPr>
          <w:rFonts w:ascii="宋体" w:hAnsi="宋体" w:eastAsia="宋体"/>
          <w:sz w:val="24"/>
          <w:lang w:eastAsia="zh-CN"/>
        </w:rPr>
      </w:pPr>
      <w:r>
        <w:rPr>
          <w:rFonts w:hint="eastAsia" w:ascii="宋体" w:hAnsi="宋体" w:eastAsia="宋体"/>
          <w:sz w:val="24"/>
          <w:lang w:eastAsia="zh-CN"/>
        </w:rPr>
        <w:t>3、服务方案评分时保留1位小数，评标价得分计算时保留两位小数。</w:t>
      </w:r>
    </w:p>
    <w:p>
      <w:pPr>
        <w:widowControl/>
        <w:rPr>
          <w:rFonts w:ascii="宋体" w:hAnsi="宋体" w:eastAsia="宋体"/>
          <w:sz w:val="24"/>
          <w:lang w:eastAsia="zh-CN"/>
        </w:rPr>
      </w:pPr>
      <w:r>
        <w:rPr>
          <w:rFonts w:ascii="宋体" w:hAnsi="宋体" w:eastAsia="宋体"/>
          <w:sz w:val="24"/>
          <w:lang w:eastAsia="zh-CN"/>
        </w:rPr>
        <w:br w:type="page"/>
      </w:r>
    </w:p>
    <w:p>
      <w:pPr>
        <w:pStyle w:val="6"/>
        <w:ind w:left="0" w:firstLine="0"/>
        <w:rPr>
          <w:rFonts w:ascii="宋体" w:hAnsi="宋体" w:cs="宋体"/>
        </w:rPr>
      </w:pPr>
      <w:r>
        <w:rPr>
          <w:rFonts w:hint="eastAsia" w:ascii="宋体" w:hAnsi="宋体" w:cs="宋体"/>
        </w:rPr>
        <w:t>附件3：标段划分及招标内容表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276"/>
        <w:gridCol w:w="708"/>
        <w:gridCol w:w="1418"/>
        <w:gridCol w:w="1276"/>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sz w:val="24"/>
                <w:szCs w:val="24"/>
              </w:rPr>
            </w:pPr>
            <w:bookmarkStart w:id="7" w:name="_Hlk138842293"/>
            <w:r>
              <w:rPr>
                <w:rFonts w:ascii="宋体" w:hAnsi="宋体" w:eastAsia="宋体" w:cs="Times New Roman"/>
                <w:b/>
                <w:bCs/>
                <w:sz w:val="24"/>
                <w:szCs w:val="24"/>
                <w:lang w:eastAsia="zh-CN"/>
              </w:rPr>
              <w:br w:type="page"/>
            </w:r>
            <w:r>
              <w:rPr>
                <w:rFonts w:ascii="宋体" w:hAnsi="宋体" w:eastAsia="宋体" w:cs="Times New Roman"/>
                <w:b/>
                <w:bCs/>
                <w:sz w:val="24"/>
                <w:szCs w:val="24"/>
              </w:rPr>
              <w:t>标段</w:t>
            </w:r>
          </w:p>
        </w:tc>
        <w:tc>
          <w:tcPr>
            <w:tcW w:w="1276"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sz w:val="24"/>
                <w:szCs w:val="24"/>
              </w:rPr>
            </w:pPr>
            <w:r>
              <w:rPr>
                <w:rFonts w:ascii="宋体" w:hAnsi="宋体" w:eastAsia="宋体" w:cs="Times New Roman"/>
                <w:b/>
                <w:bCs/>
                <w:sz w:val="24"/>
                <w:szCs w:val="24"/>
              </w:rPr>
              <w:t>车辆类别</w:t>
            </w:r>
          </w:p>
        </w:tc>
        <w:tc>
          <w:tcPr>
            <w:tcW w:w="708"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sz w:val="24"/>
                <w:szCs w:val="24"/>
                <w:lang w:eastAsia="zh-CN"/>
              </w:rPr>
            </w:pPr>
            <w:r>
              <w:rPr>
                <w:rFonts w:ascii="宋体" w:hAnsi="宋体" w:eastAsia="宋体" w:cs="Times New Roman"/>
                <w:b/>
                <w:bCs/>
                <w:sz w:val="24"/>
                <w:szCs w:val="24"/>
                <w:lang w:eastAsia="zh-CN"/>
              </w:rPr>
              <w:t>数量</w:t>
            </w:r>
          </w:p>
        </w:tc>
        <w:tc>
          <w:tcPr>
            <w:tcW w:w="1418"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sz w:val="24"/>
                <w:szCs w:val="24"/>
                <w:lang w:eastAsia="zh-CN"/>
              </w:rPr>
            </w:pPr>
            <w:r>
              <w:rPr>
                <w:rFonts w:ascii="宋体" w:hAnsi="宋体" w:eastAsia="宋体" w:cs="Times New Roman"/>
                <w:b/>
                <w:bCs/>
                <w:sz w:val="24"/>
                <w:szCs w:val="24"/>
                <w:lang w:eastAsia="zh-CN"/>
              </w:rPr>
              <w:t>限价</w:t>
            </w:r>
          </w:p>
          <w:p>
            <w:pPr>
              <w:jc w:val="center"/>
              <w:rPr>
                <w:rFonts w:ascii="宋体" w:hAnsi="宋体" w:eastAsia="宋体" w:cs="Times New Roman"/>
                <w:b/>
                <w:bCs/>
                <w:sz w:val="24"/>
                <w:szCs w:val="24"/>
                <w:lang w:eastAsia="zh-CN"/>
              </w:rPr>
            </w:pPr>
            <w:r>
              <w:rPr>
                <w:rFonts w:ascii="宋体" w:hAnsi="宋体" w:eastAsia="宋体" w:cs="Times New Roman"/>
                <w:b/>
                <w:bCs/>
                <w:sz w:val="24"/>
                <w:szCs w:val="24"/>
                <w:lang w:eastAsia="zh-CN"/>
              </w:rPr>
              <w:t>（万元/辆）</w:t>
            </w:r>
          </w:p>
        </w:tc>
        <w:tc>
          <w:tcPr>
            <w:tcW w:w="1276"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sz w:val="24"/>
                <w:szCs w:val="24"/>
                <w:lang w:eastAsia="zh-CN"/>
              </w:rPr>
            </w:pPr>
            <w:r>
              <w:rPr>
                <w:rFonts w:ascii="宋体" w:hAnsi="宋体" w:eastAsia="宋体" w:cs="Times New Roman"/>
                <w:b/>
                <w:bCs/>
                <w:sz w:val="24"/>
                <w:szCs w:val="24"/>
                <w:lang w:eastAsia="zh-CN"/>
              </w:rPr>
              <w:t>车身颜色</w:t>
            </w:r>
          </w:p>
        </w:tc>
        <w:tc>
          <w:tcPr>
            <w:tcW w:w="3485"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sz w:val="24"/>
                <w:szCs w:val="24"/>
                <w:lang w:eastAsia="zh-CN"/>
              </w:rPr>
            </w:pPr>
            <w:r>
              <w:rPr>
                <w:rFonts w:ascii="宋体" w:hAnsi="宋体" w:eastAsia="宋体" w:cs="Times New Roman"/>
                <w:b/>
                <w:bCs/>
                <w:sz w:val="24"/>
                <w:szCs w:val="24"/>
                <w:lang w:eastAsia="zh-CN"/>
              </w:rPr>
              <w:t>采购需求部门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tcBorders>
              <w:top w:val="single" w:color="auto" w:sz="4" w:space="0"/>
              <w:left w:val="single" w:color="auto" w:sz="4" w:space="0"/>
              <w:right w:val="single" w:color="auto" w:sz="4" w:space="0"/>
            </w:tcBorders>
            <w:vAlign w:val="center"/>
          </w:tcPr>
          <w:p>
            <w:pPr>
              <w:jc w:val="center"/>
              <w:rPr>
                <w:rFonts w:ascii="宋体" w:hAnsi="宋体" w:eastAsia="宋体" w:cs="Times New Roman"/>
                <w:sz w:val="24"/>
                <w:szCs w:val="24"/>
                <w:lang w:eastAsia="zh-CN"/>
              </w:rPr>
            </w:pPr>
            <w:r>
              <w:rPr>
                <w:rFonts w:ascii="宋体" w:hAnsi="宋体" w:eastAsia="宋体" w:cs="Times New Roman"/>
                <w:sz w:val="24"/>
                <w:szCs w:val="24"/>
              </w:rPr>
              <w:t>标段</w:t>
            </w:r>
            <w:r>
              <w:rPr>
                <w:rFonts w:hint="eastAsia" w:ascii="宋体" w:hAnsi="宋体" w:eastAsia="宋体" w:cs="Times New Roman"/>
                <w:sz w:val="24"/>
                <w:szCs w:val="24"/>
                <w:lang w:eastAsia="zh-CN"/>
              </w:rPr>
              <w:t>1</w:t>
            </w:r>
          </w:p>
        </w:tc>
        <w:tc>
          <w:tcPr>
            <w:tcW w:w="1276" w:type="dxa"/>
            <w:tcBorders>
              <w:top w:val="single" w:color="auto" w:sz="4" w:space="0"/>
              <w:left w:val="single" w:color="auto" w:sz="4" w:space="0"/>
              <w:right w:val="single" w:color="auto" w:sz="4" w:space="0"/>
            </w:tcBorders>
            <w:vAlign w:val="center"/>
          </w:tcPr>
          <w:p>
            <w:pPr>
              <w:jc w:val="center"/>
              <w:rPr>
                <w:rFonts w:ascii="宋体" w:hAnsi="宋体" w:eastAsia="宋体" w:cs="Times New Roman"/>
                <w:sz w:val="24"/>
                <w:szCs w:val="24"/>
                <w:lang w:eastAsia="zh-CN"/>
              </w:rPr>
            </w:pPr>
            <w:r>
              <w:rPr>
                <w:rFonts w:ascii="宋体" w:hAnsi="宋体" w:eastAsia="宋体" w:cs="Times New Roman"/>
                <w:sz w:val="24"/>
                <w:szCs w:val="24"/>
                <w:lang w:eastAsia="zh-CN"/>
              </w:rPr>
              <w:t>商务</w:t>
            </w:r>
          </w:p>
        </w:tc>
        <w:tc>
          <w:tcPr>
            <w:tcW w:w="708" w:type="dxa"/>
            <w:tcBorders>
              <w:top w:val="single" w:color="auto" w:sz="4" w:space="0"/>
              <w:left w:val="single" w:color="auto" w:sz="4" w:space="0"/>
              <w:right w:val="single" w:color="auto" w:sz="4" w:space="0"/>
            </w:tcBorders>
            <w:vAlign w:val="center"/>
          </w:tcPr>
          <w:p>
            <w:pPr>
              <w:jc w:val="center"/>
              <w:rPr>
                <w:rFonts w:ascii="宋体" w:hAnsi="宋体" w:eastAsia="宋体" w:cs="Times New Roman"/>
                <w:sz w:val="24"/>
                <w:szCs w:val="24"/>
                <w:lang w:eastAsia="zh-CN"/>
              </w:rPr>
            </w:pPr>
            <w:r>
              <w:rPr>
                <w:rFonts w:ascii="宋体" w:hAnsi="宋体" w:eastAsia="宋体" w:cs="Times New Roman"/>
                <w:sz w:val="24"/>
                <w:szCs w:val="24"/>
                <w:lang w:eastAsia="zh-CN"/>
              </w:rPr>
              <w:t>3</w:t>
            </w:r>
          </w:p>
        </w:tc>
        <w:tc>
          <w:tcPr>
            <w:tcW w:w="1418" w:type="dxa"/>
            <w:tcBorders>
              <w:top w:val="single" w:color="auto" w:sz="4" w:space="0"/>
              <w:left w:val="single" w:color="auto" w:sz="4" w:space="0"/>
              <w:right w:val="single" w:color="auto" w:sz="4" w:space="0"/>
            </w:tcBorders>
            <w:vAlign w:val="center"/>
          </w:tcPr>
          <w:p>
            <w:pPr>
              <w:jc w:val="center"/>
              <w:rPr>
                <w:rFonts w:ascii="宋体" w:hAnsi="宋体" w:eastAsia="宋体" w:cs="Times New Roman"/>
                <w:sz w:val="24"/>
                <w:szCs w:val="24"/>
                <w:lang w:eastAsia="zh-CN"/>
              </w:rPr>
            </w:pPr>
            <w:r>
              <w:rPr>
                <w:rFonts w:ascii="宋体" w:hAnsi="宋体" w:eastAsia="宋体" w:cs="Times New Roman"/>
                <w:sz w:val="24"/>
                <w:szCs w:val="24"/>
                <w:lang w:eastAsia="zh-CN"/>
              </w:rPr>
              <w:t>38</w:t>
            </w:r>
          </w:p>
        </w:tc>
        <w:tc>
          <w:tcPr>
            <w:tcW w:w="1276" w:type="dxa"/>
            <w:tcBorders>
              <w:top w:val="single" w:color="auto" w:sz="4" w:space="0"/>
              <w:left w:val="single" w:color="auto" w:sz="4" w:space="0"/>
              <w:right w:val="single" w:color="auto" w:sz="4" w:space="0"/>
            </w:tcBorders>
            <w:vAlign w:val="center"/>
          </w:tcPr>
          <w:p>
            <w:pPr>
              <w:jc w:val="center"/>
              <w:rPr>
                <w:rFonts w:ascii="宋体" w:hAnsi="宋体" w:eastAsia="宋体" w:cs="Times New Roman"/>
                <w:sz w:val="24"/>
                <w:szCs w:val="24"/>
                <w:lang w:eastAsia="zh-CN"/>
              </w:rPr>
            </w:pPr>
            <w:r>
              <w:rPr>
                <w:rFonts w:ascii="宋体" w:hAnsi="宋体" w:eastAsia="宋体" w:cs="Times New Roman"/>
                <w:sz w:val="24"/>
                <w:szCs w:val="24"/>
                <w:lang w:eastAsia="zh-CN"/>
              </w:rPr>
              <w:t>灰色</w:t>
            </w:r>
          </w:p>
        </w:tc>
        <w:tc>
          <w:tcPr>
            <w:tcW w:w="3485" w:type="dxa"/>
            <w:tcBorders>
              <w:top w:val="single" w:color="auto" w:sz="4" w:space="0"/>
              <w:left w:val="single" w:color="auto" w:sz="4" w:space="0"/>
              <w:right w:val="single" w:color="auto" w:sz="4" w:space="0"/>
            </w:tcBorders>
            <w:vAlign w:val="center"/>
          </w:tcPr>
          <w:p>
            <w:pPr>
              <w:jc w:val="center"/>
              <w:rPr>
                <w:rFonts w:ascii="宋体" w:hAnsi="宋体" w:eastAsia="宋体" w:cs="Times New Roman"/>
                <w:sz w:val="24"/>
                <w:szCs w:val="24"/>
                <w:lang w:eastAsia="zh-CN"/>
              </w:rPr>
            </w:pPr>
            <w:r>
              <w:rPr>
                <w:rFonts w:ascii="宋体" w:hAnsi="宋体" w:eastAsia="宋体" w:cs="Times New Roman"/>
                <w:sz w:val="24"/>
                <w:szCs w:val="24"/>
                <w:lang w:eastAsia="zh-CN"/>
              </w:rPr>
              <w:t>河北高速公路集团有限公司总部3辆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908"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标段</w:t>
            </w:r>
            <w:r>
              <w:rPr>
                <w:rFonts w:hint="eastAsia" w:ascii="宋体" w:hAnsi="宋体" w:eastAsia="宋体" w:cs="Times New Roman"/>
                <w:sz w:val="24"/>
                <w:szCs w:val="24"/>
                <w:lang w:eastAsia="zh-CN"/>
              </w:rPr>
              <w:t>2</w:t>
            </w:r>
          </w:p>
        </w:tc>
        <w:tc>
          <w:tcPr>
            <w:tcW w:w="1276"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商务</w:t>
            </w:r>
          </w:p>
        </w:tc>
        <w:tc>
          <w:tcPr>
            <w:tcW w:w="7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9</w:t>
            </w:r>
          </w:p>
        </w:tc>
        <w:tc>
          <w:tcPr>
            <w:tcW w:w="141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28</w:t>
            </w: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灰色</w:t>
            </w:r>
          </w:p>
        </w:tc>
        <w:tc>
          <w:tcPr>
            <w:tcW w:w="348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河北高速公路集团有限公司京哈北线分公司、河北高速公路集团有限公司邢衡邢台分公司、河北高速公路集团有限公司青银分公司、河北高速公路集团有限公司张涿分公司、河北高速集团工程咨询有限公司、河北高速集团资源开发运营有限公司、河北高速公路集团有限公司项目开发办公室、河北金牛化工股份有限公司、河北高速邯港高速公路有限公司各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vMerge w:val="restart"/>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标段</w:t>
            </w:r>
            <w:r>
              <w:rPr>
                <w:rFonts w:hint="eastAsia" w:ascii="宋体" w:hAnsi="宋体" w:eastAsia="宋体" w:cs="Times New Roman"/>
                <w:sz w:val="24"/>
                <w:szCs w:val="24"/>
                <w:lang w:eastAsia="zh-CN"/>
              </w:rPr>
              <w:t>3</w:t>
            </w:r>
          </w:p>
        </w:tc>
        <w:tc>
          <w:tcPr>
            <w:tcW w:w="1276"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通勤30座</w:t>
            </w:r>
          </w:p>
        </w:tc>
        <w:tc>
          <w:tcPr>
            <w:tcW w:w="708"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1</w:t>
            </w:r>
          </w:p>
        </w:tc>
        <w:tc>
          <w:tcPr>
            <w:tcW w:w="1418"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39</w:t>
            </w:r>
          </w:p>
        </w:tc>
        <w:tc>
          <w:tcPr>
            <w:tcW w:w="1276"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w:t>
            </w:r>
          </w:p>
        </w:tc>
        <w:tc>
          <w:tcPr>
            <w:tcW w:w="3485" w:type="dxa"/>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河北高速公路集团有限公司大广分公司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通勤39座</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lang w:eastAsia="zh-CN"/>
              </w:rPr>
            </w:pPr>
            <w:r>
              <w:rPr>
                <w:rFonts w:ascii="宋体" w:hAnsi="宋体" w:eastAsia="宋体" w:cs="Times New Roman"/>
                <w:sz w:val="24"/>
                <w:szCs w:val="24"/>
                <w:lang w:eastAsia="zh-CN"/>
              </w:rPr>
              <w:t>50.7</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w:t>
            </w:r>
          </w:p>
        </w:tc>
        <w:tc>
          <w:tcPr>
            <w:tcW w:w="3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河北高速公路集团有限公司大广分公司3辆、河北高速公路集团有限公司邢衡衡水分公司1辆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通勤50座</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lang w:eastAsia="zh-CN"/>
              </w:rPr>
            </w:pPr>
            <w:r>
              <w:rPr>
                <w:rFonts w:ascii="宋体" w:hAnsi="宋体" w:eastAsia="宋体" w:cs="Times New Roman"/>
                <w:sz w:val="24"/>
                <w:szCs w:val="24"/>
                <w:lang w:eastAsia="zh-CN"/>
              </w:rPr>
              <w:t>65</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w:t>
            </w:r>
          </w:p>
        </w:tc>
        <w:tc>
          <w:tcPr>
            <w:tcW w:w="3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河北高速公路集团有限公司京雄分公司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标段</w:t>
            </w:r>
            <w:r>
              <w:rPr>
                <w:rFonts w:hint="eastAsia" w:ascii="宋体" w:hAnsi="宋体" w:eastAsia="宋体" w:cs="Times New Roman"/>
                <w:sz w:val="24"/>
                <w:szCs w:val="24"/>
                <w:lang w:eastAsia="zh-CN"/>
              </w:rPr>
              <w:t>4</w:t>
            </w: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越野车</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6</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lang w:eastAsia="zh-CN"/>
              </w:rPr>
            </w:pPr>
            <w:r>
              <w:rPr>
                <w:rFonts w:ascii="宋体" w:hAnsi="宋体" w:eastAsia="宋体" w:cs="Times New Roman"/>
                <w:sz w:val="24"/>
                <w:szCs w:val="24"/>
                <w:lang w:eastAsia="zh-CN"/>
              </w:rPr>
              <w:t>18</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白色</w:t>
            </w:r>
          </w:p>
        </w:tc>
        <w:tc>
          <w:tcPr>
            <w:tcW w:w="3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河北高速邯港高速公路有限公司5辆、河北高速集团工程咨询有限公司1辆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标段</w:t>
            </w:r>
            <w:r>
              <w:rPr>
                <w:rFonts w:hint="eastAsia" w:ascii="宋体" w:hAnsi="宋体" w:eastAsia="宋体" w:cs="Times New Roman"/>
                <w:sz w:val="24"/>
                <w:szCs w:val="24"/>
                <w:lang w:eastAsia="zh-CN"/>
              </w:rPr>
              <w:t>5</w:t>
            </w: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trike/>
                <w:sz w:val="24"/>
                <w:szCs w:val="24"/>
                <w:lang w:eastAsia="zh-CN"/>
              </w:rPr>
            </w:pPr>
            <w:r>
              <w:rPr>
                <w:rFonts w:ascii="宋体" w:hAnsi="宋体" w:eastAsia="宋体" w:cs="Times New Roman"/>
                <w:sz w:val="24"/>
                <w:szCs w:val="24"/>
              </w:rPr>
              <w:t>小型车</w:t>
            </w:r>
          </w:p>
        </w:tc>
        <w:tc>
          <w:tcPr>
            <w:tcW w:w="7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trike/>
                <w:sz w:val="24"/>
                <w:szCs w:val="24"/>
                <w:lang w:eastAsia="zh-CN"/>
              </w:rPr>
            </w:pPr>
            <w:r>
              <w:rPr>
                <w:rFonts w:ascii="宋体" w:hAnsi="宋体" w:eastAsia="宋体" w:cs="Times New Roman"/>
                <w:sz w:val="24"/>
                <w:szCs w:val="24"/>
                <w:lang w:eastAsia="zh-CN"/>
              </w:rPr>
              <w:t>2</w:t>
            </w:r>
          </w:p>
        </w:tc>
        <w:tc>
          <w:tcPr>
            <w:tcW w:w="1418" w:type="dxa"/>
            <w:tcBorders>
              <w:top w:val="single" w:color="auto" w:sz="4" w:space="0"/>
              <w:left w:val="single" w:color="auto" w:sz="4" w:space="0"/>
              <w:right w:val="single" w:color="auto" w:sz="4" w:space="0"/>
            </w:tcBorders>
            <w:vAlign w:val="center"/>
          </w:tcPr>
          <w:p>
            <w:pPr>
              <w:jc w:val="center"/>
              <w:rPr>
                <w:rFonts w:ascii="宋体" w:hAnsi="宋体" w:eastAsia="宋体" w:cs="Times New Roman"/>
                <w:strike/>
                <w:sz w:val="24"/>
                <w:szCs w:val="24"/>
                <w:lang w:eastAsia="zh-CN"/>
              </w:rPr>
            </w:pPr>
            <w:r>
              <w:rPr>
                <w:rFonts w:ascii="宋体" w:hAnsi="宋体" w:eastAsia="宋体" w:cs="Times New Roman"/>
                <w:sz w:val="24"/>
                <w:szCs w:val="24"/>
                <w:lang w:eastAsia="zh-CN"/>
              </w:rPr>
              <w:t>18</w:t>
            </w: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trike/>
                <w:sz w:val="24"/>
                <w:szCs w:val="24"/>
                <w:lang w:eastAsia="zh-CN"/>
              </w:rPr>
            </w:pPr>
            <w:r>
              <w:rPr>
                <w:rFonts w:ascii="宋体" w:hAnsi="宋体" w:eastAsia="宋体" w:cs="Times New Roman"/>
                <w:sz w:val="24"/>
                <w:szCs w:val="24"/>
                <w:lang w:eastAsia="zh-CN"/>
              </w:rPr>
              <w:t>黑色</w:t>
            </w:r>
          </w:p>
        </w:tc>
        <w:tc>
          <w:tcPr>
            <w:tcW w:w="3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trike/>
                <w:sz w:val="24"/>
                <w:szCs w:val="24"/>
                <w:lang w:eastAsia="zh-CN"/>
              </w:rPr>
            </w:pPr>
            <w:r>
              <w:rPr>
                <w:rFonts w:ascii="宋体" w:hAnsi="宋体" w:eastAsia="宋体" w:cs="Times New Roman"/>
                <w:sz w:val="24"/>
                <w:szCs w:val="24"/>
                <w:lang w:eastAsia="zh-CN"/>
              </w:rPr>
              <w:t>河北高速公路集团有限公司项目开发办公室、河北金牛化工股份有限公司各1辆</w:t>
            </w:r>
          </w:p>
        </w:tc>
      </w:tr>
      <w:bookmarkEnd w:id="7"/>
    </w:tbl>
    <w:p>
      <w:pPr>
        <w:pStyle w:val="14"/>
        <w:spacing w:line="360" w:lineRule="auto"/>
        <w:ind w:left="300" w:hanging="300" w:hangingChars="125"/>
        <w:jc w:val="both"/>
        <w:outlineLvl w:val="1"/>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注：各标段中标人需与各采购需求部门签订车辆采购合同并按照各采购需求部门指定地点分别供货。</w:t>
      </w:r>
    </w:p>
    <w:p>
      <w:pPr>
        <w:rPr>
          <w:rFonts w:ascii="宋体" w:hAnsi="宋体"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F739FD"/>
    <w:rsid w:val="00073FB8"/>
    <w:rsid w:val="00171864"/>
    <w:rsid w:val="002E2AC0"/>
    <w:rsid w:val="00D652BF"/>
    <w:rsid w:val="00F739FD"/>
    <w:rsid w:val="39C1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kern w:val="0"/>
      <w:sz w:val="22"/>
      <w:szCs w:val="22"/>
      <w:lang w:val="en-US" w:eastAsia="en-US" w:bidi="ar-SA"/>
    </w:rPr>
  </w:style>
  <w:style w:type="paragraph" w:styleId="5">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6">
    <w:name w:val="heading 4"/>
    <w:basedOn w:val="1"/>
    <w:next w:val="1"/>
    <w:link w:val="10"/>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link w:val="12"/>
    <w:qFormat/>
    <w:uiPriority w:val="0"/>
    <w:pPr>
      <w:ind w:firstLine="420" w:firstLineChars="200"/>
      <w:jc w:val="both"/>
    </w:pPr>
    <w:rPr>
      <w:rFonts w:ascii="Times New Roman" w:hAnsi="Times New Roman" w:eastAsia="宋体" w:cs="Times New Roman"/>
      <w:kern w:val="2"/>
      <w:sz w:val="21"/>
      <w:szCs w:val="24"/>
      <w:lang w:eastAsia="zh-CN"/>
    </w:rPr>
  </w:style>
  <w:style w:type="paragraph" w:styleId="3">
    <w:name w:val="Body Text Indent"/>
    <w:basedOn w:val="1"/>
    <w:link w:val="11"/>
    <w:semiHidden/>
    <w:unhideWhenUsed/>
    <w:qFormat/>
    <w:uiPriority w:val="99"/>
    <w:pPr>
      <w:spacing w:after="120"/>
      <w:ind w:left="420" w:leftChars="200"/>
    </w:pPr>
  </w:style>
  <w:style w:type="paragraph" w:styleId="4">
    <w:name w:val="annotation text"/>
    <w:basedOn w:val="1"/>
    <w:link w:val="22"/>
    <w:semiHidden/>
    <w:unhideWhenUsed/>
    <w:uiPriority w:val="99"/>
  </w:style>
  <w:style w:type="paragraph" w:styleId="7">
    <w:name w:val="Body Text"/>
    <w:basedOn w:val="1"/>
    <w:next w:val="1"/>
    <w:link w:val="13"/>
    <w:qFormat/>
    <w:uiPriority w:val="0"/>
    <w:pPr>
      <w:ind w:left="100"/>
    </w:pPr>
    <w:rPr>
      <w:rFonts w:ascii="宋体" w:hAnsi="宋体" w:eastAsia="宋体"/>
      <w:sz w:val="21"/>
      <w:szCs w:val="21"/>
    </w:rPr>
  </w:style>
  <w:style w:type="character" w:customStyle="1" w:styleId="10">
    <w:name w:val="标题 4 字符"/>
    <w:basedOn w:val="9"/>
    <w:link w:val="6"/>
    <w:qFormat/>
    <w:uiPriority w:val="0"/>
    <w:rPr>
      <w:rFonts w:ascii="Calibri Light" w:hAnsi="Calibri Light" w:eastAsia="宋体" w:cs="黑体"/>
      <w:b/>
      <w:bCs/>
      <w:sz w:val="28"/>
      <w:szCs w:val="28"/>
    </w:rPr>
  </w:style>
  <w:style w:type="character" w:customStyle="1" w:styleId="11">
    <w:name w:val="正文文本缩进 字符"/>
    <w:basedOn w:val="9"/>
    <w:link w:val="3"/>
    <w:semiHidden/>
    <w:uiPriority w:val="99"/>
    <w:rPr>
      <w:kern w:val="0"/>
      <w:sz w:val="22"/>
      <w:lang w:eastAsia="en-US"/>
    </w:rPr>
  </w:style>
  <w:style w:type="character" w:customStyle="1" w:styleId="12">
    <w:name w:val="正文文本首行缩进 2 字符"/>
    <w:basedOn w:val="11"/>
    <w:link w:val="2"/>
    <w:qFormat/>
    <w:uiPriority w:val="0"/>
    <w:rPr>
      <w:rFonts w:ascii="Times New Roman" w:hAnsi="Times New Roman" w:eastAsia="宋体" w:cs="Times New Roman"/>
      <w:kern w:val="0"/>
      <w:sz w:val="22"/>
      <w:szCs w:val="24"/>
      <w:lang w:eastAsia="en-US"/>
    </w:rPr>
  </w:style>
  <w:style w:type="character" w:customStyle="1" w:styleId="13">
    <w:name w:val="正文文本 字符"/>
    <w:basedOn w:val="9"/>
    <w:link w:val="7"/>
    <w:qFormat/>
    <w:uiPriority w:val="0"/>
    <w:rPr>
      <w:rFonts w:ascii="宋体" w:hAnsi="宋体" w:eastAsia="宋体"/>
      <w:kern w:val="0"/>
      <w:szCs w:val="21"/>
      <w:lang w:eastAsia="en-US"/>
    </w:rPr>
  </w:style>
  <w:style w:type="paragraph" w:customStyle="1" w:styleId="14">
    <w:name w:val="标题 31"/>
    <w:basedOn w:val="1"/>
    <w:qFormat/>
    <w:uiPriority w:val="1"/>
    <w:pPr>
      <w:ind w:left="100"/>
      <w:outlineLvl w:val="3"/>
    </w:pPr>
    <w:rPr>
      <w:rFonts w:ascii="Microsoft JhengHei" w:hAnsi="Microsoft JhengHei" w:eastAsia="Microsoft JhengHei"/>
      <w:b/>
      <w:bCs/>
      <w:sz w:val="32"/>
      <w:szCs w:val="32"/>
    </w:rPr>
  </w:style>
  <w:style w:type="paragraph" w:customStyle="1" w:styleId="15">
    <w:name w:val="标题 41"/>
    <w:basedOn w:val="1"/>
    <w:qFormat/>
    <w:uiPriority w:val="1"/>
    <w:pPr>
      <w:ind w:left="237"/>
      <w:outlineLvl w:val="4"/>
    </w:pPr>
    <w:rPr>
      <w:rFonts w:ascii="宋体" w:hAnsi="宋体" w:eastAsia="宋体"/>
      <w:sz w:val="28"/>
      <w:szCs w:val="28"/>
    </w:rPr>
  </w:style>
  <w:style w:type="paragraph" w:styleId="16">
    <w:name w:val="List Paragraph"/>
    <w:basedOn w:val="1"/>
    <w:qFormat/>
    <w:uiPriority w:val="34"/>
  </w:style>
  <w:style w:type="paragraph" w:customStyle="1" w:styleId="17">
    <w:name w:val="标题1"/>
    <w:basedOn w:val="5"/>
    <w:link w:val="20"/>
    <w:qFormat/>
    <w:uiPriority w:val="0"/>
    <w:pPr>
      <w:adjustRightInd w:val="0"/>
      <w:spacing w:before="120" w:after="0" w:line="360" w:lineRule="auto"/>
      <w:jc w:val="center"/>
      <w:textAlignment w:val="baseline"/>
    </w:pPr>
    <w:rPr>
      <w:rFonts w:ascii="宋体" w:hAnsi="宋体" w:eastAsia="宋体" w:cs="黑体"/>
      <w:sz w:val="32"/>
      <w:lang w:eastAsia="zh-CN"/>
    </w:rPr>
  </w:style>
  <w:style w:type="paragraph" w:customStyle="1" w:styleId="18">
    <w:name w:val="目录1"/>
    <w:basedOn w:val="1"/>
    <w:qFormat/>
    <w:uiPriority w:val="99"/>
    <w:pPr>
      <w:adjustRightInd w:val="0"/>
      <w:spacing w:line="420" w:lineRule="atLeast"/>
      <w:jc w:val="both"/>
      <w:textAlignment w:val="baseline"/>
    </w:pPr>
    <w:rPr>
      <w:rFonts w:ascii="Times New Roman" w:hAnsi="Times New Roman" w:eastAsia="黑体" w:cs="Times New Roman"/>
      <w:b/>
      <w:sz w:val="21"/>
      <w:szCs w:val="20"/>
      <w:lang w:eastAsia="zh-CN"/>
    </w:rPr>
  </w:style>
  <w:style w:type="paragraph" w:customStyle="1" w:styleId="19">
    <w:name w:val="目录3"/>
    <w:basedOn w:val="1"/>
    <w:qFormat/>
    <w:uiPriority w:val="99"/>
    <w:pPr>
      <w:adjustRightInd w:val="0"/>
      <w:spacing w:line="420" w:lineRule="atLeast"/>
      <w:ind w:left="454"/>
      <w:jc w:val="both"/>
      <w:textAlignment w:val="baseline"/>
    </w:pPr>
    <w:rPr>
      <w:rFonts w:ascii="Times New Roman" w:hAnsi="Times New Roman" w:eastAsia="宋体" w:cs="Times New Roman"/>
      <w:sz w:val="21"/>
      <w:szCs w:val="20"/>
      <w:lang w:eastAsia="zh-CN"/>
    </w:rPr>
  </w:style>
  <w:style w:type="character" w:customStyle="1" w:styleId="20">
    <w:name w:val="标题1 Char"/>
    <w:link w:val="17"/>
    <w:qFormat/>
    <w:uiPriority w:val="0"/>
    <w:rPr>
      <w:rFonts w:ascii="宋体" w:hAnsi="宋体" w:eastAsia="宋体" w:cs="黑体"/>
      <w:b/>
      <w:bCs/>
      <w:kern w:val="44"/>
      <w:sz w:val="32"/>
      <w:szCs w:val="44"/>
    </w:rPr>
  </w:style>
  <w:style w:type="paragraph" w:styleId="21">
    <w:name w:val="No Spacing"/>
    <w:qFormat/>
    <w:uiPriority w:val="0"/>
    <w:pPr>
      <w:widowControl w:val="0"/>
      <w:jc w:val="both"/>
    </w:pPr>
    <w:rPr>
      <w:rFonts w:ascii="宋体" w:hAnsi="宋体" w:eastAsia="宋体" w:cs="Times New Roman"/>
      <w:kern w:val="2"/>
      <w:sz w:val="24"/>
      <w:szCs w:val="24"/>
      <w:lang w:val="en-US" w:eastAsia="zh-CN" w:bidi="ar-SA"/>
    </w:rPr>
  </w:style>
  <w:style w:type="character" w:customStyle="1" w:styleId="22">
    <w:name w:val="批注文字 字符"/>
    <w:basedOn w:val="9"/>
    <w:link w:val="4"/>
    <w:semiHidden/>
    <w:uiPriority w:val="99"/>
    <w:rPr>
      <w:kern w:val="0"/>
      <w:sz w:val="22"/>
      <w:lang w:eastAsia="en-US"/>
    </w:rPr>
  </w:style>
  <w:style w:type="character" w:customStyle="1" w:styleId="23">
    <w:name w:val="标题 1 字符"/>
    <w:basedOn w:val="9"/>
    <w:link w:val="5"/>
    <w:uiPriority w:val="9"/>
    <w:rPr>
      <w:b/>
      <w:bCs/>
      <w:kern w:val="44"/>
      <w:sz w:val="44"/>
      <w:szCs w:val="4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3041</Words>
  <Characters>3315</Characters>
  <Lines>255</Lines>
  <Paragraphs>254</Paragraphs>
  <TotalTime>2</TotalTime>
  <ScaleCrop>false</ScaleCrop>
  <LinksUpToDate>false</LinksUpToDate>
  <CharactersWithSpaces>6102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2023-08-03T12:51:00Z</dcterms:created>
  <dc:creator>Zixuan Su</dc:creator>
  <cp:lastModifiedBy>李</cp:lastModifiedBy>
  <dcterms:modified xsi:type="dcterms:W3CDTF">2023-08-04T00:31:35Z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E4FE2A14B0EE4A98A834C47D104C0564_12</vt:lpwstr>
  </property>
</Properties>
</file>