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pacing w:line="420" w:lineRule="exact"/>
        <w:ind w:right="240"/>
        <w:jc w:val="left"/>
        <w:rPr>
          <w:rFonts w:hint="eastAsia" w:ascii="宋体" w:hAnsi="宋体"/>
          <w:b/>
          <w:sz w:val="24"/>
        </w:rPr>
      </w:pPr>
      <w:bookmarkStart w:id="12" w:name="_GoBack"/>
      <w:bookmarkEnd w:id="12"/>
      <w:bookmarkStart w:id="0" w:name="OLE_LINK1"/>
      <w:r>
        <w:rPr>
          <w:rFonts w:hint="eastAsia" w:ascii="宋体" w:hAnsi="宋体"/>
          <w:b/>
          <w:sz w:val="24"/>
        </w:rPr>
        <w:t>附件1：资格审查条件</w:t>
      </w:r>
    </w:p>
    <w:p>
      <w:pPr>
        <w:adjustRightInd w:val="0"/>
        <w:spacing w:line="400" w:lineRule="exact"/>
        <w:jc w:val="left"/>
        <w:rPr>
          <w:rFonts w:hint="eastAsia" w:ascii="宋体" w:hAnsi="宋体"/>
          <w:sz w:val="24"/>
          <w:szCs w:val="24"/>
        </w:rPr>
      </w:pPr>
    </w:p>
    <w:p>
      <w:pPr>
        <w:adjustRightInd w:val="0"/>
        <w:spacing w:line="276" w:lineRule="auto"/>
        <w:jc w:val="center"/>
        <w:rPr>
          <w:rFonts w:hint="eastAsia" w:ascii="宋体" w:hAnsi="宋体"/>
          <w:b/>
          <w:sz w:val="24"/>
          <w:szCs w:val="24"/>
        </w:rPr>
      </w:pPr>
      <w:r>
        <w:rPr>
          <w:rFonts w:hint="eastAsia" w:ascii="宋体" w:hAnsi="宋体"/>
          <w:b/>
          <w:sz w:val="24"/>
          <w:szCs w:val="24"/>
        </w:rPr>
        <w:t xml:space="preserve">附录1 </w:t>
      </w:r>
      <w:r>
        <w:rPr>
          <w:rFonts w:hint="eastAsia" w:ascii="宋体" w:hAnsi="宋体"/>
          <w:b/>
          <w:sz w:val="24"/>
        </w:rPr>
        <w:t>资格</w:t>
      </w:r>
      <w:r>
        <w:rPr>
          <w:rFonts w:hint="eastAsia" w:ascii="宋体" w:hAnsi="宋体"/>
          <w:b/>
          <w:sz w:val="24"/>
          <w:szCs w:val="24"/>
        </w:rPr>
        <w:t>审查条件（资质最低条件）</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vAlign w:val="center"/>
          </w:tcPr>
          <w:p>
            <w:pPr>
              <w:pStyle w:val="6"/>
              <w:spacing w:before="0" w:beforeAutospacing="0" w:after="0" w:afterAutospacing="0" w:line="276" w:lineRule="auto"/>
              <w:ind w:firstLine="0"/>
              <w:contextualSpacing/>
              <w:jc w:val="center"/>
            </w:pPr>
            <w:r>
              <w:rPr>
                <w:rFonts w:hint="eastAsia"/>
              </w:rPr>
              <w:t>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3" w:hRule="atLeast"/>
          <w:jc w:val="center"/>
        </w:trPr>
        <w:tc>
          <w:tcPr>
            <w:tcW w:w="9286" w:type="dxa"/>
            <w:vAlign w:val="center"/>
          </w:tcPr>
          <w:p>
            <w:pPr>
              <w:spacing w:line="276" w:lineRule="auto"/>
              <w:ind w:left="-62" w:leftChars="-22" w:firstLine="488"/>
              <w:rPr>
                <w:rFonts w:hint="eastAsia" w:ascii="宋体" w:hAnsi="宋体"/>
                <w:sz w:val="21"/>
                <w:szCs w:val="21"/>
              </w:rPr>
            </w:pPr>
            <w:r>
              <w:rPr>
                <w:rFonts w:hint="eastAsia" w:ascii="宋体" w:hAnsi="宋体"/>
                <w:sz w:val="21"/>
                <w:szCs w:val="21"/>
              </w:rPr>
              <w:t>具有独立企业法人资格，持有有效的企业法人营业执照；</w:t>
            </w:r>
          </w:p>
          <w:p>
            <w:pPr>
              <w:spacing w:line="276" w:lineRule="auto"/>
              <w:ind w:left="-62" w:leftChars="-22" w:firstLine="488"/>
              <w:rPr>
                <w:rFonts w:hint="eastAsia" w:ascii="宋体" w:hAnsi="宋体"/>
                <w:sz w:val="21"/>
                <w:szCs w:val="21"/>
              </w:rPr>
            </w:pPr>
            <w:r>
              <w:rPr>
                <w:rFonts w:hint="eastAsia" w:ascii="宋体" w:hAnsi="宋体"/>
                <w:sz w:val="21"/>
                <w:szCs w:val="21"/>
              </w:rPr>
              <w:t>具备工程勘察综合类甲级资质</w:t>
            </w:r>
          </w:p>
          <w:p>
            <w:pPr>
              <w:spacing w:line="276" w:lineRule="auto"/>
              <w:ind w:left="-62" w:leftChars="-22" w:firstLine="488"/>
              <w:rPr>
                <w:rFonts w:ascii="宋体" w:hAnsi="宋体"/>
                <w:sz w:val="21"/>
                <w:szCs w:val="21"/>
              </w:rPr>
            </w:pPr>
            <w:r>
              <w:rPr>
                <w:rFonts w:hint="eastAsia" w:ascii="宋体" w:hAnsi="宋体"/>
                <w:sz w:val="21"/>
                <w:szCs w:val="21"/>
              </w:rPr>
              <w:t>同时具备工程设计综合甲级资质或公路行业设计甲级资质（和建筑行业建筑工程设计甲级资质）或公路行业（公路、特大桥梁、交通工程）专业甲级（和建筑行业建筑工程设计甲级资质）。</w:t>
            </w:r>
          </w:p>
        </w:tc>
      </w:tr>
    </w:tbl>
    <w:p>
      <w:pPr>
        <w:adjustRightInd w:val="0"/>
        <w:spacing w:line="276" w:lineRule="auto"/>
        <w:jc w:val="center"/>
        <w:rPr>
          <w:rFonts w:hint="eastAsia" w:ascii="宋体" w:hAnsi="宋体"/>
          <w:b/>
          <w:sz w:val="24"/>
          <w:szCs w:val="24"/>
        </w:rPr>
      </w:pPr>
    </w:p>
    <w:p>
      <w:pPr>
        <w:adjustRightInd w:val="0"/>
        <w:spacing w:line="276" w:lineRule="auto"/>
        <w:jc w:val="center"/>
        <w:rPr>
          <w:rFonts w:hint="eastAsia" w:ascii="宋体" w:hAnsi="宋体"/>
          <w:b/>
          <w:sz w:val="24"/>
          <w:szCs w:val="24"/>
        </w:rPr>
      </w:pPr>
      <w:r>
        <w:rPr>
          <w:rFonts w:hint="eastAsia" w:ascii="宋体" w:hAnsi="宋体"/>
          <w:b/>
          <w:sz w:val="24"/>
          <w:szCs w:val="24"/>
        </w:rPr>
        <w:t>附录2 资格审查条件（业绩最低条件）</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vAlign w:val="center"/>
          </w:tcPr>
          <w:p>
            <w:pPr>
              <w:pStyle w:val="6"/>
              <w:spacing w:before="0" w:beforeAutospacing="0" w:after="0" w:afterAutospacing="0" w:line="276" w:lineRule="auto"/>
              <w:ind w:firstLine="0"/>
              <w:contextualSpacing/>
              <w:jc w:val="center"/>
            </w:pPr>
            <w:r>
              <w:rPr>
                <w:rFonts w:hint="eastAsia"/>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1" w:hRule="atLeast"/>
          <w:jc w:val="center"/>
        </w:trPr>
        <w:tc>
          <w:tcPr>
            <w:tcW w:w="9286" w:type="dxa"/>
            <w:vAlign w:val="center"/>
          </w:tcPr>
          <w:p>
            <w:pPr>
              <w:spacing w:line="276" w:lineRule="auto"/>
              <w:ind w:firstLine="315" w:firstLineChars="150"/>
              <w:jc w:val="left"/>
              <w:rPr>
                <w:rFonts w:ascii="宋体" w:hAnsi="宋体"/>
                <w:kern w:val="0"/>
                <w:sz w:val="24"/>
                <w:szCs w:val="24"/>
              </w:rPr>
            </w:pPr>
            <w:r>
              <w:rPr>
                <w:rFonts w:hint="eastAsia" w:ascii="宋体" w:hAnsi="宋体"/>
                <w:sz w:val="21"/>
                <w:szCs w:val="21"/>
              </w:rPr>
              <w:t>近5年内（201</w:t>
            </w:r>
            <w:r>
              <w:rPr>
                <w:rFonts w:ascii="宋体" w:hAnsi="宋体"/>
                <w:sz w:val="21"/>
                <w:szCs w:val="21"/>
              </w:rPr>
              <w:t>8</w:t>
            </w:r>
            <w:r>
              <w:rPr>
                <w:rFonts w:hint="eastAsia" w:ascii="宋体" w:hAnsi="宋体"/>
                <w:sz w:val="21"/>
                <w:szCs w:val="21"/>
              </w:rPr>
              <w:t>年1月1日至今，以施工图批复日期为准）独立完成过1条（段）新建或改扩建高速公路项目工程的勘察设计工作或勘察设计监理工作。</w:t>
            </w:r>
          </w:p>
        </w:tc>
      </w:tr>
    </w:tbl>
    <w:p>
      <w:pPr>
        <w:adjustRightInd w:val="0"/>
        <w:spacing w:line="276" w:lineRule="auto"/>
        <w:jc w:val="center"/>
        <w:rPr>
          <w:rFonts w:hint="eastAsia" w:ascii="宋体" w:hAnsi="宋体"/>
          <w:b/>
          <w:sz w:val="24"/>
          <w:szCs w:val="24"/>
        </w:rPr>
      </w:pPr>
    </w:p>
    <w:p>
      <w:pPr>
        <w:adjustRightInd w:val="0"/>
        <w:spacing w:line="276" w:lineRule="auto"/>
        <w:jc w:val="center"/>
        <w:rPr>
          <w:rFonts w:hint="eastAsia" w:ascii="宋体" w:hAnsi="宋体"/>
          <w:b/>
          <w:sz w:val="24"/>
          <w:szCs w:val="24"/>
        </w:rPr>
      </w:pPr>
      <w:r>
        <w:rPr>
          <w:rFonts w:hint="eastAsia" w:ascii="宋体" w:hAnsi="宋体"/>
          <w:b/>
          <w:sz w:val="24"/>
          <w:szCs w:val="24"/>
        </w:rPr>
        <w:t>附录3 资格审查条件（信誉最低要求）</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vAlign w:val="center"/>
          </w:tcPr>
          <w:p>
            <w:pPr>
              <w:pStyle w:val="6"/>
              <w:spacing w:before="0" w:beforeAutospacing="0" w:after="0" w:afterAutospacing="0" w:line="276" w:lineRule="auto"/>
              <w:ind w:firstLine="0"/>
              <w:contextualSpacing/>
              <w:jc w:val="center"/>
            </w:pPr>
            <w:r>
              <w:rPr>
                <w:rFonts w:hint="eastAsia"/>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9286" w:type="dxa"/>
            <w:vAlign w:val="center"/>
          </w:tcPr>
          <w:p>
            <w:pPr>
              <w:spacing w:line="276" w:lineRule="auto"/>
              <w:ind w:firstLine="420" w:firstLineChars="200"/>
              <w:rPr>
                <w:rFonts w:ascii="宋体" w:hAnsi="宋体"/>
                <w:sz w:val="21"/>
                <w:szCs w:val="21"/>
              </w:rPr>
            </w:pPr>
            <w:r>
              <w:rPr>
                <w:rFonts w:hint="eastAsia" w:ascii="宋体" w:hAnsi="宋体"/>
                <w:sz w:val="21"/>
                <w:szCs w:val="21"/>
              </w:rPr>
              <w:t>投标人在近1年（202</w:t>
            </w:r>
            <w:r>
              <w:rPr>
                <w:rFonts w:ascii="宋体" w:hAnsi="宋体"/>
                <w:sz w:val="21"/>
                <w:szCs w:val="21"/>
              </w:rPr>
              <w:t>2</w:t>
            </w:r>
            <w:r>
              <w:rPr>
                <w:rFonts w:hint="eastAsia" w:ascii="宋体" w:hAnsi="宋体"/>
                <w:sz w:val="21"/>
                <w:szCs w:val="21"/>
              </w:rPr>
              <w:t>年1月1日至今）中不曾在高速公路工程勘察设计或勘察设计监理合同中违约而被驱逐或因投标人自身的原因而使高速公路工程勘察设计或勘察设计监理合同被解除。</w:t>
            </w:r>
          </w:p>
        </w:tc>
      </w:tr>
    </w:tbl>
    <w:p>
      <w:pPr>
        <w:adjustRightInd w:val="0"/>
        <w:spacing w:line="276" w:lineRule="auto"/>
        <w:jc w:val="center"/>
        <w:rPr>
          <w:rFonts w:hint="eastAsia" w:ascii="宋体" w:hAnsi="宋体"/>
          <w:b/>
          <w:sz w:val="24"/>
          <w:szCs w:val="24"/>
        </w:rPr>
      </w:pPr>
    </w:p>
    <w:p>
      <w:pPr>
        <w:adjustRightInd w:val="0"/>
        <w:spacing w:line="276" w:lineRule="auto"/>
        <w:jc w:val="center"/>
        <w:rPr>
          <w:rFonts w:hint="eastAsia" w:ascii="宋体" w:hAnsi="宋体"/>
          <w:b/>
          <w:sz w:val="24"/>
          <w:szCs w:val="24"/>
        </w:rPr>
      </w:pPr>
      <w:r>
        <w:rPr>
          <w:rFonts w:hint="eastAsia" w:ascii="宋体" w:hAnsi="宋体"/>
          <w:b/>
          <w:sz w:val="24"/>
          <w:szCs w:val="24"/>
        </w:rPr>
        <w:t xml:space="preserve">附录4 资格审查条件（项目负责人最低要求） </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1"/>
        <w:gridCol w:w="1134"/>
        <w:gridCol w:w="6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71" w:type="dxa"/>
            <w:vAlign w:val="center"/>
          </w:tcPr>
          <w:p>
            <w:pPr>
              <w:pStyle w:val="6"/>
              <w:spacing w:before="0" w:beforeAutospacing="0" w:after="0" w:afterAutospacing="0" w:line="276" w:lineRule="auto"/>
              <w:ind w:firstLine="0"/>
              <w:contextualSpacing/>
              <w:jc w:val="center"/>
            </w:pPr>
            <w:r>
              <w:rPr>
                <w:rFonts w:hint="eastAsia"/>
              </w:rPr>
              <w:t>人 员</w:t>
            </w:r>
          </w:p>
        </w:tc>
        <w:tc>
          <w:tcPr>
            <w:tcW w:w="1134" w:type="dxa"/>
            <w:vAlign w:val="center"/>
          </w:tcPr>
          <w:p>
            <w:pPr>
              <w:pStyle w:val="6"/>
              <w:spacing w:before="0" w:beforeAutospacing="0" w:after="0" w:afterAutospacing="0" w:line="276" w:lineRule="auto"/>
              <w:ind w:firstLine="0"/>
              <w:contextualSpacing/>
              <w:jc w:val="center"/>
              <w:rPr>
                <w:rFonts w:hint="eastAsia"/>
              </w:rPr>
            </w:pPr>
            <w:r>
              <w:rPr>
                <w:rFonts w:hint="eastAsia"/>
              </w:rPr>
              <w:t>数量</w:t>
            </w:r>
          </w:p>
        </w:tc>
        <w:tc>
          <w:tcPr>
            <w:tcW w:w="6981" w:type="dxa"/>
            <w:vAlign w:val="center"/>
          </w:tcPr>
          <w:p>
            <w:pPr>
              <w:pStyle w:val="6"/>
              <w:spacing w:before="0" w:beforeAutospacing="0" w:after="0" w:afterAutospacing="0" w:line="276" w:lineRule="auto"/>
              <w:ind w:firstLine="0"/>
              <w:contextualSpacing/>
              <w:jc w:val="center"/>
            </w:pPr>
            <w:r>
              <w:rPr>
                <w:rFonts w:hint="eastAsia"/>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1171" w:type="dxa"/>
            <w:vAlign w:val="center"/>
          </w:tcPr>
          <w:p>
            <w:pPr>
              <w:spacing w:line="276" w:lineRule="auto"/>
              <w:jc w:val="center"/>
              <w:rPr>
                <w:rFonts w:ascii="宋体" w:hAnsi="宋体"/>
                <w:sz w:val="21"/>
                <w:szCs w:val="21"/>
              </w:rPr>
            </w:pPr>
            <w:r>
              <w:rPr>
                <w:rFonts w:hint="eastAsia" w:ascii="宋体" w:hAnsi="宋体"/>
                <w:sz w:val="21"/>
                <w:szCs w:val="21"/>
              </w:rPr>
              <w:t>项目负责人</w:t>
            </w:r>
          </w:p>
        </w:tc>
        <w:tc>
          <w:tcPr>
            <w:tcW w:w="1134" w:type="dxa"/>
            <w:vAlign w:val="center"/>
          </w:tcPr>
          <w:p>
            <w:pPr>
              <w:spacing w:line="276" w:lineRule="auto"/>
              <w:jc w:val="center"/>
              <w:rPr>
                <w:rFonts w:ascii="宋体" w:hAnsi="宋体"/>
                <w:sz w:val="24"/>
                <w:szCs w:val="24"/>
              </w:rPr>
            </w:pPr>
            <w:r>
              <w:rPr>
                <w:rFonts w:hint="eastAsia" w:ascii="宋体" w:hAnsi="宋体"/>
                <w:sz w:val="24"/>
                <w:szCs w:val="24"/>
              </w:rPr>
              <w:t>1</w:t>
            </w:r>
          </w:p>
        </w:tc>
        <w:tc>
          <w:tcPr>
            <w:tcW w:w="6981" w:type="dxa"/>
            <w:vAlign w:val="center"/>
          </w:tcPr>
          <w:p>
            <w:pPr>
              <w:spacing w:line="276" w:lineRule="auto"/>
              <w:rPr>
                <w:rFonts w:ascii="宋体" w:hAnsi="宋体"/>
                <w:sz w:val="24"/>
                <w:szCs w:val="24"/>
              </w:rPr>
            </w:pPr>
            <w:r>
              <w:rPr>
                <w:rFonts w:hint="eastAsia" w:ascii="宋体" w:hAnsi="宋体"/>
                <w:sz w:val="21"/>
                <w:szCs w:val="21"/>
              </w:rPr>
              <w:t>高级工程师，近5年内（201</w:t>
            </w:r>
            <w:r>
              <w:rPr>
                <w:rFonts w:ascii="宋体" w:hAnsi="宋体"/>
                <w:sz w:val="21"/>
                <w:szCs w:val="21"/>
              </w:rPr>
              <w:t>8</w:t>
            </w:r>
            <w:r>
              <w:rPr>
                <w:rFonts w:hint="eastAsia" w:ascii="宋体" w:hAnsi="宋体"/>
                <w:sz w:val="21"/>
                <w:szCs w:val="21"/>
              </w:rPr>
              <w:t>年1月1日至今，以施工图批复日期为准）作为项目负责人或技术负责人或设计负责人负责过1条（段）新建或改扩建高速公路项目的勘察设计工作或勘察设计监理工作。</w:t>
            </w:r>
          </w:p>
        </w:tc>
      </w:tr>
    </w:tbl>
    <w:p>
      <w:pPr>
        <w:spacing w:line="276" w:lineRule="auto"/>
        <w:ind w:firstLine="420" w:firstLineChars="200"/>
        <w:rPr>
          <w:rFonts w:hint="eastAsia" w:ascii="宋体" w:hAnsi="宋体"/>
          <w:sz w:val="21"/>
          <w:szCs w:val="21"/>
        </w:rPr>
      </w:pPr>
    </w:p>
    <w:p>
      <w:pPr>
        <w:adjustRightInd w:val="0"/>
        <w:spacing w:line="400" w:lineRule="exact"/>
        <w:jc w:val="left"/>
        <w:rPr>
          <w:rFonts w:ascii="宋体" w:hAnsi="宋体"/>
          <w:b/>
          <w:sz w:val="24"/>
        </w:rPr>
      </w:pPr>
      <w:r>
        <w:rPr>
          <w:rFonts w:ascii="宋体" w:hAnsi="宋体"/>
        </w:rPr>
        <w:br w:type="page"/>
      </w:r>
      <w:r>
        <w:rPr>
          <w:rFonts w:hint="eastAsia" w:ascii="宋体" w:hAnsi="宋体"/>
          <w:b/>
          <w:sz w:val="24"/>
        </w:rPr>
        <w:t>附件2：随机确定评标基准价计算方法的规则与程序</w:t>
      </w:r>
    </w:p>
    <w:p>
      <w:pPr>
        <w:adjustRightInd w:val="0"/>
        <w:spacing w:line="400" w:lineRule="exact"/>
        <w:jc w:val="left"/>
        <w:rPr>
          <w:rFonts w:ascii="宋体" w:hAnsi="宋体"/>
          <w:b/>
          <w:sz w:val="21"/>
          <w:szCs w:val="21"/>
        </w:rPr>
      </w:pPr>
    </w:p>
    <w:p>
      <w:pPr>
        <w:adjustRightInd w:val="0"/>
        <w:spacing w:line="400" w:lineRule="exact"/>
        <w:jc w:val="left"/>
        <w:rPr>
          <w:rFonts w:hint="eastAsia" w:ascii="宋体" w:hAnsi="宋体"/>
          <w:b/>
          <w:sz w:val="21"/>
          <w:szCs w:val="21"/>
        </w:rPr>
      </w:pPr>
      <w:r>
        <w:rPr>
          <w:rFonts w:hint="eastAsia" w:ascii="宋体" w:hAnsi="宋体"/>
          <w:b/>
          <w:sz w:val="21"/>
          <w:szCs w:val="21"/>
        </w:rPr>
        <w:t>一、随机抽取确定评标基准价计算方法规则</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参与随机确定评标基准价计算方法的各方当事人（以下简称“各方”）应当严格遵守以下规则：</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（一）各方必须严格遵守公开、公平、公正和诚实信用原则；</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（二）随机抽取活动在招标人的主持下进行，由公证机关对全过程进行公证 ，招标人做好影像记录，并存档备查；</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（三）用于随机抽取的器具由招标人提供；</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（四）各方必须严格遵守现场纪律，确保随机抽取活动有序进行；</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（五）投标人对随机抽取过程有异议的，在惠招标电子招投标交易平台的开标大厅点异议按钮在线提出异议，招标人当场作出答复，并作好记录。</w:t>
      </w:r>
    </w:p>
    <w:p>
      <w:pPr>
        <w:adjustRightInd w:val="0"/>
        <w:spacing w:line="400" w:lineRule="exact"/>
        <w:jc w:val="left"/>
        <w:rPr>
          <w:rFonts w:hint="eastAsia" w:ascii="宋体" w:hAnsi="宋体"/>
          <w:b/>
          <w:sz w:val="21"/>
          <w:szCs w:val="21"/>
        </w:rPr>
      </w:pPr>
      <w:r>
        <w:rPr>
          <w:rFonts w:hint="eastAsia" w:ascii="宋体" w:hAnsi="宋体"/>
          <w:b/>
          <w:sz w:val="21"/>
          <w:szCs w:val="21"/>
        </w:rPr>
        <w:t>二、随机抽取确定评标基准价计算方法的程序</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（一）确定随机抽取代码球</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用抽取器具随机确定抽取代码球一套，作为本次随机抽取确定评标基准价计算方法的代码球。</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（二）本次招标共设置三种评标基准价计算方法（详见评标办法）。</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确定评标基准价计算方法的编号及代码球，1 号球代表评标基准价计算方法 1；2 号球代表评标基准价计算方法 2；3 号球代表评标基准价计算方法 3。</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（三）在投标文件第一信封（商务及技术文件）开标现场，将编号 1、2、3 代码球全部放入随机抽取器具中，由抽取器具随机抽取产生本次招标评标基准价计算方法。</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（四）确定评标基准价计算方法需要的系数（如有）。</w:t>
      </w:r>
    </w:p>
    <w:p>
      <w:pPr>
        <w:adjustRightInd w:val="0"/>
        <w:spacing w:line="400" w:lineRule="exact"/>
        <w:jc w:val="left"/>
        <w:rPr>
          <w:rFonts w:hint="eastAsia" w:ascii="宋体" w:hAnsi="宋体"/>
          <w:bCs/>
          <w:sz w:val="21"/>
          <w:szCs w:val="21"/>
        </w:rPr>
      </w:pPr>
      <w:r>
        <w:rPr>
          <w:rFonts w:hint="eastAsia" w:ascii="宋体" w:hAnsi="宋体"/>
          <w:bCs/>
          <w:sz w:val="21"/>
          <w:szCs w:val="21"/>
        </w:rPr>
        <w:t>如果确定的评标基准价计算方法为方法 3，需要再抽取评标基准价系数 K。K 值取值范围为 0.975、0.98、0.985、0.99、0.995 共 5 个数值。1 号球代表 K 值为 0.975；2号球代表 K 值为 0.98；3 号球代表 K 值为 0.985；4 号球代表 K 值为 0.99；5 号球代表 K值为 0.995。在开标现场通过随机抽取方式确定一个评标基准价系数 K，并当场公布。</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五）如果遇到抽取器具发生故障，导致随机确定评标基准价计算方法过程中断时，招标人应及时宣布发生故障之前的随机确定评标基准价计算方法结果有效。宣布前任何人不得随意处理抽取器具，并请招标人、公证人员、监督人员三方对故障发生情况进行书面确认。故障排除或更换抽取器具后，招标人应宣布继续后续的抽取程序。</w:t>
      </w:r>
    </w:p>
    <w:p>
      <w:pPr>
        <w:adjustRightInd w:val="0"/>
        <w:spacing w:line="400" w:lineRule="exact"/>
        <w:jc w:val="left"/>
        <w:rPr>
          <w:rFonts w:hint="eastAsia" w:ascii="宋体" w:hAnsi="宋体"/>
          <w:b/>
          <w:sz w:val="21"/>
          <w:szCs w:val="21"/>
        </w:rPr>
      </w:pPr>
      <w:r>
        <w:rPr>
          <w:rFonts w:hint="eastAsia" w:ascii="宋体" w:hAnsi="宋体"/>
          <w:b/>
          <w:sz w:val="21"/>
          <w:szCs w:val="21"/>
        </w:rPr>
        <w:t>三、随机抽取结果的确认</w:t>
      </w:r>
    </w:p>
    <w:p>
      <w:pPr>
        <w:adjustRightInd w:val="0"/>
        <w:spacing w:line="400" w:lineRule="exact"/>
        <w:ind w:firstLine="420" w:firstLineChars="200"/>
        <w:jc w:val="left"/>
        <w:rPr>
          <w:rFonts w:hint="eastAsia" w:ascii="宋体" w:hAnsi="宋体"/>
          <w:bCs/>
          <w:sz w:val="21"/>
          <w:szCs w:val="21"/>
        </w:rPr>
      </w:pPr>
      <w:r>
        <w:rPr>
          <w:rFonts w:hint="eastAsia" w:ascii="宋体" w:hAnsi="宋体"/>
          <w:bCs/>
          <w:sz w:val="21"/>
          <w:szCs w:val="21"/>
        </w:rPr>
        <w:t>投标人对开标有异议的，应当于产生随机抽取结果后的 20 分钟内在惠招标电子招投标交易平台的开标大厅点异议按钮在线提出异议，在规定时间之内未提出异议的，视为默认随机抽取结果。对于投标人提出的异议，招标人当场作出答复，并作好记录。 随机抽取结束后，招标人当场宣布随机抽取结果，抽取结果由招标人代表和公证人员签字确认。投标人代表在开标记录表上用河北 CA 数字证书进行确认，若投标人未及时在开标记录表上确认，视为该投标人默认抽取结果。</w:t>
      </w:r>
    </w:p>
    <w:p>
      <w:pPr>
        <w:adjustRightInd w:val="0"/>
        <w:spacing w:line="400" w:lineRule="exact"/>
        <w:jc w:val="left"/>
        <w:rPr>
          <w:rFonts w:hint="eastAsia" w:ascii="宋体" w:hAnsi="宋体"/>
          <w:b/>
          <w:sz w:val="24"/>
        </w:rPr>
      </w:pPr>
      <w:r>
        <w:rPr>
          <w:rFonts w:ascii="宋体" w:hAnsi="宋体"/>
          <w:b/>
          <w:sz w:val="24"/>
        </w:rPr>
        <w:br w:type="page"/>
      </w:r>
      <w:r>
        <w:rPr>
          <w:rFonts w:hint="eastAsia" w:ascii="宋体" w:hAnsi="宋体"/>
          <w:b/>
          <w:sz w:val="24"/>
        </w:rPr>
        <w:t>附件</w:t>
      </w:r>
      <w:r>
        <w:rPr>
          <w:rFonts w:ascii="宋体" w:hAnsi="宋体"/>
          <w:b/>
          <w:sz w:val="24"/>
        </w:rPr>
        <w:t>3</w:t>
      </w:r>
      <w:r>
        <w:rPr>
          <w:rFonts w:hint="eastAsia" w:ascii="宋体" w:hAnsi="宋体"/>
          <w:b/>
          <w:sz w:val="24"/>
        </w:rPr>
        <w:t>：评标办法</w:t>
      </w:r>
    </w:p>
    <w:bookmarkEnd w:id="0"/>
    <w:p>
      <w:pPr>
        <w:pStyle w:val="17"/>
        <w:spacing w:line="276" w:lineRule="auto"/>
        <w:rPr>
          <w:rFonts w:hint="eastAsia" w:ascii="宋体" w:hAnsi="宋体" w:eastAsia="宋体"/>
          <w:sz w:val="30"/>
          <w:szCs w:val="30"/>
        </w:rPr>
      </w:pPr>
      <w:bookmarkStart w:id="1" w:name="_Toc459307890"/>
      <w:bookmarkStart w:id="2" w:name="_Toc450319202"/>
      <w:bookmarkStart w:id="3" w:name="_Toc509660966"/>
      <w:bookmarkStart w:id="4" w:name="_Toc509659998"/>
      <w:bookmarkStart w:id="5" w:name="_Toc531949857"/>
      <w:bookmarkStart w:id="6" w:name="_Toc502992691"/>
      <w:bookmarkStart w:id="7" w:name="_Toc444088432"/>
      <w:bookmarkStart w:id="8" w:name="_Toc445382083"/>
      <w:bookmarkStart w:id="9" w:name="_Toc445222503"/>
      <w:bookmarkStart w:id="10" w:name="_Toc444271617"/>
      <w:r>
        <w:rPr>
          <w:rFonts w:hint="eastAsia" w:ascii="宋体" w:hAnsi="宋体" w:eastAsia="宋体"/>
          <w:sz w:val="30"/>
          <w:szCs w:val="30"/>
        </w:rPr>
        <w:t>评标办法（综合评估法）</w:t>
      </w:r>
      <w:bookmarkEnd w:id="1"/>
      <w:bookmarkEnd w:id="2"/>
      <w:bookmarkEnd w:id="3"/>
      <w:bookmarkEnd w:id="4"/>
      <w:bookmarkEnd w:id="5"/>
      <w:bookmarkEnd w:id="6"/>
    </w:p>
    <w:p>
      <w:pPr>
        <w:pStyle w:val="17"/>
        <w:spacing w:line="276" w:lineRule="auto"/>
        <w:jc w:val="both"/>
        <w:rPr>
          <w:rFonts w:hint="eastAsia" w:ascii="宋体" w:hAnsi="宋体" w:eastAsia="宋体"/>
          <w:sz w:val="24"/>
          <w:szCs w:val="30"/>
        </w:rPr>
      </w:pPr>
      <w:bookmarkStart w:id="11" w:name="_Toc531949858"/>
      <w:r>
        <w:rPr>
          <w:rFonts w:hint="eastAsia" w:ascii="宋体" w:hAnsi="宋体" w:eastAsia="宋体"/>
          <w:sz w:val="24"/>
          <w:szCs w:val="30"/>
        </w:rPr>
        <w:t>评标办法前附表</w:t>
      </w:r>
      <w:bookmarkEnd w:id="7"/>
      <w:bookmarkEnd w:id="8"/>
      <w:bookmarkEnd w:id="9"/>
      <w:bookmarkEnd w:id="10"/>
      <w:bookmarkEnd w:id="11"/>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39"/>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41" w:type="dxa"/>
            <w:vAlign w:val="center"/>
          </w:tcPr>
          <w:p>
            <w:pPr>
              <w:spacing w:line="276" w:lineRule="auto"/>
              <w:jc w:val="center"/>
              <w:rPr>
                <w:rFonts w:ascii="宋体" w:hAnsi="宋体"/>
                <w:sz w:val="21"/>
                <w:szCs w:val="21"/>
              </w:rPr>
            </w:pPr>
            <w:r>
              <w:rPr>
                <w:rFonts w:hint="eastAsia" w:ascii="宋体" w:hAnsi="宋体"/>
                <w:sz w:val="21"/>
                <w:szCs w:val="21"/>
              </w:rPr>
              <w:t>条款号</w:t>
            </w:r>
          </w:p>
        </w:tc>
        <w:tc>
          <w:tcPr>
            <w:tcW w:w="1239" w:type="dxa"/>
            <w:vAlign w:val="center"/>
          </w:tcPr>
          <w:p>
            <w:pPr>
              <w:spacing w:line="276" w:lineRule="auto"/>
              <w:jc w:val="center"/>
              <w:rPr>
                <w:rFonts w:ascii="宋体" w:hAnsi="宋体"/>
                <w:sz w:val="21"/>
                <w:szCs w:val="21"/>
              </w:rPr>
            </w:pPr>
            <w:r>
              <w:rPr>
                <w:rFonts w:hint="eastAsia" w:ascii="宋体" w:hAnsi="宋体"/>
                <w:sz w:val="21"/>
                <w:szCs w:val="21"/>
              </w:rPr>
              <w:t>条款名称</w:t>
            </w:r>
          </w:p>
        </w:tc>
        <w:tc>
          <w:tcPr>
            <w:tcW w:w="7063" w:type="dxa"/>
            <w:vAlign w:val="center"/>
          </w:tcPr>
          <w:p>
            <w:pPr>
              <w:spacing w:line="276" w:lineRule="auto"/>
              <w:jc w:val="center"/>
              <w:rPr>
                <w:rFonts w:ascii="宋体" w:hAnsi="宋体"/>
                <w:sz w:val="21"/>
                <w:szCs w:val="21"/>
              </w:rPr>
            </w:pPr>
            <w:r>
              <w:rPr>
                <w:rFonts w:hint="eastAsia" w:ascii="宋体" w:hAnsi="宋体"/>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spacing w:line="276" w:lineRule="auto"/>
              <w:jc w:val="center"/>
              <w:rPr>
                <w:rFonts w:ascii="宋体" w:hAnsi="宋体"/>
                <w:sz w:val="21"/>
                <w:szCs w:val="21"/>
              </w:rPr>
            </w:pPr>
            <w:r>
              <w:rPr>
                <w:rFonts w:hint="eastAsia" w:ascii="宋体" w:hAnsi="宋体"/>
                <w:sz w:val="21"/>
                <w:szCs w:val="21"/>
              </w:rPr>
              <w:t>1</w:t>
            </w:r>
          </w:p>
        </w:tc>
        <w:tc>
          <w:tcPr>
            <w:tcW w:w="1239" w:type="dxa"/>
            <w:vAlign w:val="center"/>
          </w:tcPr>
          <w:p>
            <w:pPr>
              <w:spacing w:line="276" w:lineRule="auto"/>
              <w:jc w:val="center"/>
              <w:rPr>
                <w:rFonts w:ascii="宋体" w:hAnsi="宋体"/>
                <w:sz w:val="21"/>
                <w:szCs w:val="21"/>
              </w:rPr>
            </w:pPr>
            <w:r>
              <w:rPr>
                <w:rFonts w:hint="eastAsia" w:ascii="宋体" w:hAnsi="宋体"/>
                <w:sz w:val="21"/>
                <w:szCs w:val="21"/>
              </w:rPr>
              <w:t>评标办法</w:t>
            </w:r>
          </w:p>
        </w:tc>
        <w:tc>
          <w:tcPr>
            <w:tcW w:w="7063" w:type="dxa"/>
            <w:vAlign w:val="center"/>
          </w:tcPr>
          <w:p>
            <w:pPr>
              <w:spacing w:line="276" w:lineRule="auto"/>
              <w:ind w:left="84" w:leftChars="30" w:firstLine="1"/>
              <w:jc w:val="left"/>
              <w:rPr>
                <w:rFonts w:hint="eastAsia" w:ascii="宋体" w:hAnsi="宋体"/>
                <w:spacing w:val="-4"/>
                <w:sz w:val="21"/>
                <w:szCs w:val="21"/>
              </w:rPr>
            </w:pPr>
            <w:r>
              <w:rPr>
                <w:rFonts w:hint="eastAsia" w:ascii="宋体" w:hAnsi="宋体"/>
                <w:spacing w:val="-4"/>
                <w:sz w:val="21"/>
                <w:szCs w:val="21"/>
              </w:rPr>
              <w:t>本次评标采用综合评估法。评标委员会对满足招标文件实质性要求的投标文件，按照本章第 2.2 款规定的评分标准进行打分，并按综合得分由高到低顺序推荐 1-3 名中标候选人。综合评分相等时，评标委员会依次按照以下优先顺序推荐中标候选人。</w:t>
            </w:r>
          </w:p>
          <w:p>
            <w:pPr>
              <w:spacing w:line="276" w:lineRule="auto"/>
              <w:ind w:left="84" w:leftChars="30" w:firstLine="1"/>
              <w:jc w:val="left"/>
              <w:rPr>
                <w:rFonts w:hint="eastAsia" w:ascii="宋体" w:hAnsi="宋体"/>
                <w:spacing w:val="-4"/>
                <w:sz w:val="21"/>
                <w:szCs w:val="21"/>
              </w:rPr>
            </w:pPr>
            <w:r>
              <w:rPr>
                <w:rFonts w:hint="eastAsia" w:ascii="宋体" w:hAnsi="宋体"/>
                <w:spacing w:val="-4"/>
                <w:sz w:val="21"/>
                <w:szCs w:val="21"/>
              </w:rPr>
              <w:t>（1）</w:t>
            </w:r>
            <w:r>
              <w:rPr>
                <w:rFonts w:hint="eastAsia" w:ascii="宋体" w:hAnsi="宋体"/>
                <w:spacing w:val="-4"/>
                <w:sz w:val="21"/>
                <w:szCs w:val="21"/>
              </w:rPr>
              <w:tab/>
            </w:r>
            <w:r>
              <w:rPr>
                <w:rFonts w:hint="eastAsia" w:ascii="宋体" w:hAnsi="宋体"/>
                <w:spacing w:val="-4"/>
                <w:sz w:val="21"/>
                <w:szCs w:val="21"/>
              </w:rPr>
              <w:t>评标价低的投标人优先；</w:t>
            </w:r>
          </w:p>
          <w:p>
            <w:pPr>
              <w:spacing w:line="276" w:lineRule="auto"/>
              <w:ind w:left="84" w:leftChars="30" w:firstLine="1"/>
              <w:jc w:val="left"/>
              <w:rPr>
                <w:rFonts w:hint="eastAsia" w:ascii="宋体" w:hAnsi="宋体"/>
                <w:spacing w:val="-4"/>
                <w:sz w:val="21"/>
                <w:szCs w:val="21"/>
              </w:rPr>
            </w:pPr>
            <w:r>
              <w:rPr>
                <w:rFonts w:hint="eastAsia" w:ascii="宋体" w:hAnsi="宋体"/>
                <w:spacing w:val="-4"/>
                <w:sz w:val="21"/>
                <w:szCs w:val="21"/>
              </w:rPr>
              <w:t>（2）</w:t>
            </w:r>
            <w:r>
              <w:rPr>
                <w:rFonts w:hint="eastAsia" w:ascii="宋体" w:hAnsi="宋体"/>
                <w:spacing w:val="-4"/>
                <w:sz w:val="21"/>
                <w:szCs w:val="21"/>
              </w:rPr>
              <w:tab/>
            </w:r>
            <w:r>
              <w:rPr>
                <w:rFonts w:hint="eastAsia" w:ascii="宋体" w:hAnsi="宋体"/>
                <w:spacing w:val="-4"/>
                <w:sz w:val="21"/>
                <w:szCs w:val="21"/>
              </w:rPr>
              <w:t>技术建议书评分高的优先；</w:t>
            </w:r>
          </w:p>
          <w:p>
            <w:pPr>
              <w:spacing w:line="276" w:lineRule="auto"/>
              <w:ind w:left="84" w:leftChars="30" w:firstLine="1"/>
              <w:jc w:val="left"/>
              <w:rPr>
                <w:rFonts w:ascii="宋体" w:hAnsi="宋体"/>
                <w:spacing w:val="-4"/>
                <w:sz w:val="21"/>
                <w:szCs w:val="21"/>
              </w:rPr>
            </w:pPr>
            <w:r>
              <w:rPr>
                <w:rFonts w:hint="eastAsia" w:ascii="宋体" w:hAnsi="宋体"/>
                <w:spacing w:val="-4"/>
                <w:sz w:val="21"/>
                <w:szCs w:val="21"/>
              </w:rPr>
              <w:t>（3）</w:t>
            </w:r>
            <w:r>
              <w:rPr>
                <w:rFonts w:hint="eastAsia" w:ascii="宋体" w:hAnsi="宋体"/>
                <w:spacing w:val="-4"/>
                <w:sz w:val="21"/>
                <w:szCs w:val="21"/>
              </w:rPr>
              <w:tab/>
            </w:r>
            <w:r>
              <w:rPr>
                <w:rFonts w:hint="eastAsia" w:ascii="宋体" w:hAnsi="宋体"/>
                <w:spacing w:val="-4"/>
                <w:sz w:val="21"/>
                <w:szCs w:val="21"/>
              </w:rPr>
              <w:t>满足资格审查条件（业绩最低条件）要求所附业绩中最高合同金额较大的优先。</w:t>
            </w:r>
          </w:p>
          <w:p>
            <w:pPr>
              <w:pStyle w:val="19"/>
              <w:autoSpaceDE w:val="0"/>
              <w:autoSpaceDN w:val="0"/>
              <w:spacing w:line="276" w:lineRule="auto"/>
              <w:ind w:right="-31" w:firstLine="422"/>
              <w:rPr>
                <w:rFonts w:hint="eastAsia" w:ascii="宋体" w:hAnsi="宋体" w:cs="仿宋"/>
                <w:b/>
                <w:bCs/>
                <w:szCs w:val="21"/>
              </w:rPr>
            </w:pPr>
            <w:r>
              <w:rPr>
                <w:rFonts w:hint="eastAsia" w:ascii="宋体" w:hAnsi="宋体" w:cs="仿宋"/>
                <w:b/>
                <w:bCs/>
                <w:szCs w:val="21"/>
              </w:rPr>
              <w:t>特别说明：①招标人将同时对本项目的初步设计及勘察设计监理进行招标，本次招标评标时评标顺序为初步设计＞勘察设计监理。②同一投标人可以同时对本项目初步设计及勘察设计监理进行投标，但只能在其中的一个标段中标。同一投标人若在先评审的标段被推荐为第一中标候选人，则在后评审的标段将不被推荐为中标候选人。③如单位负责人为同一人或者存在控股、管理关系的不同单位的，在本项目初步设计项目被推荐为中标候选人，则在本项目勘察设计监理评审中将不被推荐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spacing w:line="276" w:lineRule="auto"/>
              <w:jc w:val="center"/>
              <w:rPr>
                <w:rFonts w:hint="eastAsia" w:ascii="宋体" w:hAnsi="宋体"/>
                <w:sz w:val="21"/>
                <w:szCs w:val="21"/>
              </w:rPr>
            </w:pPr>
            <w:r>
              <w:rPr>
                <w:rFonts w:hint="eastAsia" w:ascii="宋体" w:hAnsi="宋体"/>
                <w:sz w:val="21"/>
                <w:szCs w:val="21"/>
              </w:rPr>
              <w:t>2.1.1</w:t>
            </w:r>
          </w:p>
          <w:p>
            <w:pPr>
              <w:spacing w:line="276" w:lineRule="auto"/>
              <w:jc w:val="center"/>
              <w:rPr>
                <w:rFonts w:hint="eastAsia" w:ascii="宋体" w:hAnsi="宋体"/>
                <w:sz w:val="21"/>
                <w:szCs w:val="21"/>
              </w:rPr>
            </w:pPr>
            <w:r>
              <w:rPr>
                <w:rFonts w:hint="eastAsia" w:ascii="宋体" w:hAnsi="宋体"/>
                <w:sz w:val="21"/>
                <w:szCs w:val="21"/>
              </w:rPr>
              <w:t>2.1.3</w:t>
            </w:r>
          </w:p>
        </w:tc>
        <w:tc>
          <w:tcPr>
            <w:tcW w:w="1239" w:type="dxa"/>
            <w:vAlign w:val="center"/>
          </w:tcPr>
          <w:p>
            <w:pPr>
              <w:spacing w:line="276" w:lineRule="auto"/>
              <w:jc w:val="center"/>
              <w:rPr>
                <w:rFonts w:hint="eastAsia" w:ascii="宋体" w:hAnsi="宋体"/>
                <w:sz w:val="21"/>
                <w:szCs w:val="21"/>
              </w:rPr>
            </w:pPr>
            <w:r>
              <w:rPr>
                <w:rFonts w:hint="eastAsia" w:ascii="宋体" w:hAnsi="宋体"/>
                <w:sz w:val="21"/>
                <w:szCs w:val="21"/>
              </w:rPr>
              <w:t>形式评审与响应性评审标准</w:t>
            </w:r>
          </w:p>
        </w:tc>
        <w:tc>
          <w:tcPr>
            <w:tcW w:w="7063" w:type="dxa"/>
          </w:tcPr>
          <w:p>
            <w:pPr>
              <w:tabs>
                <w:tab w:val="left" w:pos="3060"/>
              </w:tabs>
              <w:spacing w:line="276" w:lineRule="auto"/>
              <w:ind w:firstLine="105" w:firstLineChars="50"/>
              <w:rPr>
                <w:rFonts w:hint="eastAsia" w:ascii="宋体" w:hAnsi="宋体"/>
                <w:b/>
                <w:sz w:val="21"/>
                <w:szCs w:val="21"/>
              </w:rPr>
            </w:pPr>
            <w:r>
              <w:rPr>
                <w:rFonts w:hint="eastAsia" w:ascii="宋体" w:hAnsi="宋体"/>
                <w:b/>
                <w:sz w:val="21"/>
                <w:szCs w:val="21"/>
              </w:rPr>
              <w:t>第一个信封（商务及技术文件）评审标准:</w:t>
            </w:r>
          </w:p>
          <w:p>
            <w:pPr>
              <w:spacing w:line="276" w:lineRule="auto"/>
              <w:ind w:firstLine="105" w:firstLineChars="50"/>
              <w:rPr>
                <w:rFonts w:ascii="宋体" w:hAnsi="宋体"/>
                <w:bCs/>
                <w:sz w:val="21"/>
                <w:szCs w:val="21"/>
              </w:rPr>
            </w:pPr>
            <w:r>
              <w:rPr>
                <w:rFonts w:hint="eastAsia" w:ascii="宋体" w:hAnsi="宋体"/>
                <w:bCs/>
                <w:sz w:val="21"/>
                <w:szCs w:val="21"/>
              </w:rPr>
              <w:t xml:space="preserve">（1）投标文件按照招标文件规定的格式、内容填写，字迹清晰可辨： </w:t>
            </w:r>
          </w:p>
          <w:p>
            <w:pPr>
              <w:spacing w:line="276" w:lineRule="auto"/>
              <w:ind w:firstLine="105" w:firstLineChars="50"/>
              <w:rPr>
                <w:rFonts w:ascii="宋体" w:hAnsi="宋体"/>
                <w:bCs/>
                <w:sz w:val="21"/>
                <w:szCs w:val="21"/>
              </w:rPr>
            </w:pPr>
            <w:r>
              <w:rPr>
                <w:rFonts w:hint="eastAsia" w:ascii="宋体" w:hAnsi="宋体"/>
                <w:bCs/>
                <w:sz w:val="21"/>
                <w:szCs w:val="21"/>
              </w:rPr>
              <w:t>a.投标函按招标文件规定填报了项目名称、补遗书编号（如有）、项目负责人信息、服务期限、质量要求及安全目标；</w:t>
            </w:r>
          </w:p>
          <w:p>
            <w:pPr>
              <w:spacing w:line="276" w:lineRule="auto"/>
              <w:ind w:firstLine="105" w:firstLineChars="50"/>
              <w:rPr>
                <w:rFonts w:hint="eastAsia" w:ascii="宋体" w:hAnsi="宋体"/>
                <w:bCs/>
                <w:sz w:val="21"/>
                <w:szCs w:val="21"/>
              </w:rPr>
            </w:pPr>
            <w:r>
              <w:rPr>
                <w:rFonts w:hint="eastAsia" w:ascii="宋体" w:hAnsi="宋体"/>
                <w:bCs/>
                <w:sz w:val="21"/>
                <w:szCs w:val="21"/>
              </w:rPr>
              <w:t>b.投标文件组成齐全完整，内容均按规定填写。</w:t>
            </w:r>
          </w:p>
          <w:p>
            <w:pPr>
              <w:tabs>
                <w:tab w:val="left" w:pos="3060"/>
              </w:tabs>
              <w:spacing w:line="276" w:lineRule="auto"/>
              <w:ind w:firstLine="105" w:firstLineChars="50"/>
              <w:rPr>
                <w:rFonts w:hint="eastAsia" w:ascii="宋体" w:hAnsi="宋体"/>
                <w:bCs/>
                <w:sz w:val="21"/>
                <w:szCs w:val="21"/>
              </w:rPr>
            </w:pPr>
            <w:r>
              <w:rPr>
                <w:rFonts w:hint="eastAsia" w:ascii="宋体" w:hAnsi="宋体"/>
                <w:bCs/>
                <w:sz w:val="21"/>
                <w:szCs w:val="21"/>
              </w:rPr>
              <w:t>（2）投标文件上法定代表人或其授权代理人的签字、投标人的单位章盖章齐全，符合招标文件规定。</w:t>
            </w:r>
          </w:p>
          <w:p>
            <w:pPr>
              <w:tabs>
                <w:tab w:val="left" w:pos="3060"/>
              </w:tabs>
              <w:spacing w:line="276" w:lineRule="auto"/>
              <w:ind w:firstLine="105" w:firstLineChars="50"/>
              <w:rPr>
                <w:rFonts w:ascii="宋体" w:hAnsi="宋体"/>
                <w:bCs/>
                <w:sz w:val="21"/>
                <w:szCs w:val="21"/>
              </w:rPr>
            </w:pPr>
            <w:r>
              <w:rPr>
                <w:rFonts w:hint="eastAsia" w:ascii="宋体" w:hAnsi="宋体"/>
                <w:bCs/>
                <w:sz w:val="21"/>
                <w:szCs w:val="21"/>
              </w:rPr>
              <w:t>（3）投标人按照招标文件规定的金额、形式、时效和内容提供了投标保证金：</w:t>
            </w:r>
          </w:p>
          <w:p>
            <w:pPr>
              <w:tabs>
                <w:tab w:val="left" w:pos="3060"/>
              </w:tabs>
              <w:spacing w:line="276" w:lineRule="auto"/>
              <w:ind w:firstLine="105" w:firstLineChars="50"/>
              <w:rPr>
                <w:rFonts w:ascii="宋体" w:hAnsi="宋体"/>
                <w:bCs/>
                <w:sz w:val="21"/>
                <w:szCs w:val="21"/>
              </w:rPr>
            </w:pPr>
            <w:r>
              <w:rPr>
                <w:rFonts w:hint="eastAsia" w:ascii="宋体" w:hAnsi="宋体"/>
                <w:bCs/>
                <w:sz w:val="21"/>
                <w:szCs w:val="21"/>
              </w:rPr>
              <w:t>a.投标保证金金额符合招标文件规定的金额，且投标保证金有效期不少于投标有效期；</w:t>
            </w:r>
          </w:p>
          <w:p>
            <w:pPr>
              <w:tabs>
                <w:tab w:val="left" w:pos="3060"/>
              </w:tabs>
              <w:spacing w:line="276" w:lineRule="auto"/>
              <w:ind w:firstLine="105" w:firstLineChars="50"/>
              <w:rPr>
                <w:rFonts w:ascii="宋体" w:hAnsi="宋体"/>
                <w:bCs/>
                <w:sz w:val="21"/>
                <w:szCs w:val="21"/>
              </w:rPr>
            </w:pPr>
            <w:r>
              <w:rPr>
                <w:rFonts w:hint="eastAsia" w:ascii="宋体" w:hAnsi="宋体"/>
                <w:bCs/>
                <w:sz w:val="21"/>
                <w:szCs w:val="21"/>
              </w:rPr>
              <w:t>b.若投标保证金采用现金或支票形式提交，投标人应在递交投标文件截止时间之前，将投标保证金由投标人的基本账户转入招标人指定账户；</w:t>
            </w:r>
          </w:p>
          <w:p>
            <w:pPr>
              <w:tabs>
                <w:tab w:val="left" w:pos="3060"/>
              </w:tabs>
              <w:spacing w:line="276" w:lineRule="auto"/>
              <w:ind w:firstLine="105" w:firstLineChars="50"/>
              <w:rPr>
                <w:rFonts w:ascii="宋体" w:hAnsi="宋体"/>
                <w:bCs/>
                <w:sz w:val="21"/>
                <w:szCs w:val="21"/>
              </w:rPr>
            </w:pPr>
            <w:r>
              <w:rPr>
                <w:rFonts w:hint="eastAsia" w:ascii="宋体" w:hAnsi="宋体"/>
                <w:bCs/>
                <w:sz w:val="21"/>
                <w:szCs w:val="21"/>
              </w:rPr>
              <w:t>c.若投标保证金采用银行保函形式提交，银行保函的格式、开具保函的银行均满足招标文件要求，且在递交投标文件截止时间之前向招标人提交了银行保函原件；</w:t>
            </w:r>
          </w:p>
          <w:p>
            <w:pPr>
              <w:tabs>
                <w:tab w:val="left" w:pos="3060"/>
              </w:tabs>
              <w:spacing w:line="320" w:lineRule="exact"/>
              <w:ind w:firstLine="105" w:firstLineChars="50"/>
              <w:rPr>
                <w:rFonts w:hint="eastAsia" w:ascii="宋体" w:hAnsi="宋体"/>
                <w:bCs/>
                <w:sz w:val="21"/>
                <w:szCs w:val="21"/>
              </w:rPr>
            </w:pPr>
            <w:r>
              <w:rPr>
                <w:rFonts w:hint="eastAsia" w:ascii="宋体" w:hAnsi="宋体"/>
                <w:bCs/>
                <w:sz w:val="21"/>
                <w:szCs w:val="21"/>
              </w:rPr>
              <w:t>d</w:t>
            </w:r>
            <w:r>
              <w:rPr>
                <w:rFonts w:ascii="宋体" w:hAnsi="宋体"/>
                <w:bCs/>
                <w:sz w:val="21"/>
                <w:szCs w:val="21"/>
              </w:rPr>
              <w:t>.</w:t>
            </w:r>
            <w:r>
              <w:rPr>
                <w:rFonts w:hint="eastAsia" w:ascii="宋体" w:hAnsi="宋体"/>
                <w:bCs/>
                <w:sz w:val="21"/>
                <w:szCs w:val="21"/>
              </w:rPr>
              <w:t>若投标保证金采用电子保证保险保函形式提交，开具的保证保险保函满足招标文件要求。</w:t>
            </w:r>
          </w:p>
          <w:p>
            <w:pPr>
              <w:tabs>
                <w:tab w:val="left" w:pos="3060"/>
              </w:tabs>
              <w:spacing w:line="276" w:lineRule="auto"/>
              <w:ind w:firstLine="105" w:firstLineChars="50"/>
              <w:rPr>
                <w:rFonts w:hint="eastAsia" w:ascii="宋体" w:hAnsi="宋体"/>
                <w:bCs/>
                <w:sz w:val="21"/>
                <w:szCs w:val="21"/>
              </w:rPr>
            </w:pPr>
            <w:r>
              <w:rPr>
                <w:rFonts w:hint="eastAsia" w:ascii="宋体" w:hAnsi="宋体"/>
                <w:bCs/>
                <w:sz w:val="21"/>
                <w:szCs w:val="21"/>
              </w:rPr>
              <w:t>（4）投标人法定代表人授权委托代理人签署投标文件的，提供了授权委托书，符合招标文件规定。</w:t>
            </w:r>
          </w:p>
          <w:p>
            <w:pPr>
              <w:tabs>
                <w:tab w:val="left" w:pos="3060"/>
              </w:tabs>
              <w:spacing w:line="276" w:lineRule="auto"/>
              <w:ind w:firstLine="105" w:firstLineChars="50"/>
              <w:rPr>
                <w:rFonts w:hint="eastAsia" w:ascii="宋体" w:hAnsi="宋体"/>
                <w:bCs/>
                <w:sz w:val="21"/>
                <w:szCs w:val="21"/>
              </w:rPr>
            </w:pPr>
            <w:r>
              <w:rPr>
                <w:rFonts w:hint="eastAsia" w:ascii="宋体" w:hAnsi="宋体"/>
                <w:bCs/>
                <w:sz w:val="21"/>
                <w:szCs w:val="21"/>
              </w:rPr>
              <w:t>（5）投标人法定代表人若亲自签署投标文件的，提供了法定代表人身份证明，符合招标文件规定。</w:t>
            </w:r>
          </w:p>
          <w:p>
            <w:pPr>
              <w:tabs>
                <w:tab w:val="left" w:pos="3060"/>
              </w:tabs>
              <w:spacing w:line="276" w:lineRule="auto"/>
              <w:ind w:firstLine="105" w:firstLineChars="50"/>
              <w:rPr>
                <w:rFonts w:hint="eastAsia" w:ascii="宋体" w:hAnsi="宋体"/>
                <w:bCs/>
                <w:sz w:val="21"/>
                <w:szCs w:val="21"/>
              </w:rPr>
            </w:pPr>
            <w:r>
              <w:rPr>
                <w:rFonts w:hint="eastAsia" w:ascii="宋体" w:hAnsi="宋体"/>
                <w:bCs/>
                <w:sz w:val="21"/>
                <w:szCs w:val="21"/>
              </w:rPr>
              <w:t>（6）投标人未以联合体形式投标。</w:t>
            </w:r>
          </w:p>
          <w:p>
            <w:pPr>
              <w:tabs>
                <w:tab w:val="left" w:pos="3060"/>
              </w:tabs>
              <w:spacing w:line="276" w:lineRule="auto"/>
              <w:ind w:firstLine="105" w:firstLineChars="50"/>
              <w:rPr>
                <w:rFonts w:hint="eastAsia" w:ascii="宋体" w:hAnsi="宋体"/>
                <w:bCs/>
                <w:sz w:val="21"/>
                <w:szCs w:val="21"/>
              </w:rPr>
            </w:pPr>
            <w:r>
              <w:rPr>
                <w:rFonts w:hint="eastAsia" w:ascii="宋体" w:hAnsi="宋体"/>
                <w:bCs/>
                <w:sz w:val="21"/>
                <w:szCs w:val="21"/>
              </w:rPr>
              <w:t>（7）投标人未对本项目提出分包计划。</w:t>
            </w:r>
          </w:p>
          <w:p>
            <w:pPr>
              <w:tabs>
                <w:tab w:val="left" w:pos="3060"/>
              </w:tabs>
              <w:spacing w:line="276" w:lineRule="auto"/>
              <w:ind w:firstLine="105" w:firstLineChars="50"/>
              <w:rPr>
                <w:rFonts w:hint="eastAsia" w:ascii="宋体" w:hAnsi="宋体"/>
                <w:bCs/>
                <w:sz w:val="21"/>
                <w:szCs w:val="21"/>
              </w:rPr>
            </w:pPr>
            <w:r>
              <w:rPr>
                <w:rFonts w:hint="eastAsia" w:ascii="宋体" w:hAnsi="宋体"/>
                <w:bCs/>
                <w:sz w:val="21"/>
                <w:szCs w:val="21"/>
              </w:rPr>
              <w:t>（8）同一投标人对本项目未提交两个以上不同的投标文件。</w:t>
            </w:r>
          </w:p>
          <w:p>
            <w:pPr>
              <w:spacing w:line="276" w:lineRule="auto"/>
              <w:ind w:firstLine="105" w:firstLineChars="50"/>
              <w:rPr>
                <w:rFonts w:ascii="宋体" w:hAnsi="宋体"/>
                <w:bCs/>
                <w:sz w:val="21"/>
                <w:szCs w:val="21"/>
              </w:rPr>
            </w:pPr>
            <w:r>
              <w:rPr>
                <w:rFonts w:hint="eastAsia" w:ascii="宋体" w:hAnsi="宋体"/>
                <w:bCs/>
                <w:sz w:val="21"/>
                <w:szCs w:val="21"/>
              </w:rPr>
              <w:t>（9）投标文件中未出现有关投标报价的内容。</w:t>
            </w:r>
          </w:p>
          <w:p>
            <w:pPr>
              <w:spacing w:line="276" w:lineRule="auto"/>
              <w:ind w:firstLine="105" w:firstLineChars="50"/>
              <w:rPr>
                <w:rFonts w:hint="eastAsia" w:ascii="宋体" w:hAnsi="宋体"/>
                <w:bCs/>
                <w:sz w:val="21"/>
                <w:szCs w:val="21"/>
              </w:rPr>
            </w:pPr>
            <w:r>
              <w:rPr>
                <w:rFonts w:hint="eastAsia" w:ascii="宋体" w:hAnsi="宋体"/>
                <w:bCs/>
                <w:sz w:val="21"/>
                <w:szCs w:val="21"/>
              </w:rPr>
              <w:t>（10）投标文件载明的招标项目完成期限符合招标文件规定。</w:t>
            </w:r>
          </w:p>
          <w:p>
            <w:pPr>
              <w:spacing w:line="276" w:lineRule="auto"/>
              <w:ind w:firstLine="105" w:firstLineChars="50"/>
              <w:rPr>
                <w:rFonts w:hint="eastAsia" w:ascii="宋体" w:hAnsi="宋体"/>
                <w:bCs/>
                <w:sz w:val="21"/>
                <w:szCs w:val="21"/>
              </w:rPr>
            </w:pPr>
            <w:r>
              <w:rPr>
                <w:rFonts w:hint="eastAsia" w:ascii="宋体" w:hAnsi="宋体"/>
                <w:bCs/>
                <w:sz w:val="21"/>
                <w:szCs w:val="21"/>
              </w:rPr>
              <w:t>（11）投标文件对招标文件的实质性要求和条件作出响应。</w:t>
            </w:r>
          </w:p>
          <w:p>
            <w:pPr>
              <w:spacing w:line="276" w:lineRule="auto"/>
              <w:ind w:firstLine="105" w:firstLineChars="50"/>
              <w:rPr>
                <w:rFonts w:ascii="宋体" w:hAnsi="宋体"/>
                <w:bCs/>
                <w:sz w:val="21"/>
                <w:szCs w:val="21"/>
              </w:rPr>
            </w:pPr>
            <w:r>
              <w:rPr>
                <w:rFonts w:hint="eastAsia" w:ascii="宋体" w:hAnsi="宋体"/>
                <w:bCs/>
                <w:sz w:val="21"/>
                <w:szCs w:val="21"/>
              </w:rPr>
              <w:t>（12）权利义务符合招标文件规定：</w:t>
            </w:r>
          </w:p>
          <w:p>
            <w:pPr>
              <w:spacing w:line="276" w:lineRule="auto"/>
              <w:ind w:firstLine="105" w:firstLineChars="50"/>
              <w:rPr>
                <w:rFonts w:ascii="宋体" w:hAnsi="宋体"/>
                <w:bCs/>
                <w:sz w:val="21"/>
                <w:szCs w:val="21"/>
              </w:rPr>
            </w:pPr>
            <w:r>
              <w:rPr>
                <w:rFonts w:hint="eastAsia" w:ascii="宋体" w:hAnsi="宋体"/>
                <w:bCs/>
                <w:sz w:val="21"/>
                <w:szCs w:val="21"/>
              </w:rPr>
              <w:t>a.</w:t>
            </w:r>
            <w:r>
              <w:rPr>
                <w:rFonts w:hint="eastAsia" w:ascii="宋体" w:hAnsi="宋体"/>
                <w:bCs/>
                <w:sz w:val="21"/>
                <w:szCs w:val="21"/>
              </w:rPr>
              <w:tab/>
            </w:r>
            <w:r>
              <w:rPr>
                <w:rFonts w:hint="eastAsia" w:ascii="宋体" w:hAnsi="宋体"/>
                <w:bCs/>
                <w:sz w:val="21"/>
                <w:szCs w:val="21"/>
              </w:rPr>
              <w:t>投标人应接受招标文件规定的风险划分原则，未提出新的风险划分办法；</w:t>
            </w:r>
          </w:p>
          <w:p>
            <w:pPr>
              <w:spacing w:line="276" w:lineRule="auto"/>
              <w:ind w:firstLine="105" w:firstLineChars="50"/>
              <w:rPr>
                <w:rFonts w:ascii="宋体" w:hAnsi="宋体"/>
                <w:bCs/>
                <w:sz w:val="21"/>
                <w:szCs w:val="21"/>
              </w:rPr>
            </w:pPr>
            <w:r>
              <w:rPr>
                <w:rFonts w:hint="eastAsia" w:ascii="宋体" w:hAnsi="宋体"/>
                <w:bCs/>
                <w:sz w:val="21"/>
                <w:szCs w:val="21"/>
              </w:rPr>
              <w:t>b.</w:t>
            </w:r>
            <w:r>
              <w:rPr>
                <w:rFonts w:hint="eastAsia" w:ascii="宋体" w:hAnsi="宋体"/>
                <w:bCs/>
                <w:sz w:val="21"/>
                <w:szCs w:val="21"/>
              </w:rPr>
              <w:tab/>
            </w:r>
            <w:r>
              <w:rPr>
                <w:rFonts w:hint="eastAsia" w:ascii="宋体" w:hAnsi="宋体"/>
                <w:bCs/>
                <w:sz w:val="21"/>
                <w:szCs w:val="21"/>
              </w:rPr>
              <w:t>投标人未增加发包人的责任范围，或减少投标人义务；</w:t>
            </w:r>
          </w:p>
          <w:p>
            <w:pPr>
              <w:spacing w:line="276" w:lineRule="auto"/>
              <w:ind w:firstLine="105" w:firstLineChars="50"/>
              <w:rPr>
                <w:rFonts w:ascii="宋体" w:hAnsi="宋体"/>
                <w:bCs/>
                <w:sz w:val="21"/>
                <w:szCs w:val="21"/>
              </w:rPr>
            </w:pPr>
            <w:r>
              <w:rPr>
                <w:rFonts w:hint="eastAsia" w:ascii="宋体" w:hAnsi="宋体"/>
                <w:bCs/>
                <w:sz w:val="21"/>
                <w:szCs w:val="21"/>
              </w:rPr>
              <w:t>c.投标人未提出不同的工程验收、计量、支付办法；</w:t>
            </w:r>
          </w:p>
          <w:p>
            <w:pPr>
              <w:spacing w:line="276" w:lineRule="auto"/>
              <w:ind w:firstLine="105" w:firstLineChars="50"/>
              <w:rPr>
                <w:rFonts w:ascii="宋体" w:hAnsi="宋体"/>
                <w:bCs/>
                <w:sz w:val="21"/>
                <w:szCs w:val="21"/>
              </w:rPr>
            </w:pPr>
            <w:r>
              <w:rPr>
                <w:rFonts w:hint="eastAsia" w:ascii="宋体" w:hAnsi="宋体"/>
                <w:bCs/>
                <w:sz w:val="21"/>
                <w:szCs w:val="21"/>
              </w:rPr>
              <w:t xml:space="preserve">d.投标人对合同纠纷、事故处理办法未提出异议； </w:t>
            </w:r>
          </w:p>
          <w:p>
            <w:pPr>
              <w:spacing w:line="276" w:lineRule="auto"/>
              <w:ind w:firstLine="105" w:firstLineChars="50"/>
              <w:rPr>
                <w:rFonts w:ascii="宋体" w:hAnsi="宋体"/>
                <w:bCs/>
                <w:sz w:val="21"/>
                <w:szCs w:val="21"/>
              </w:rPr>
            </w:pPr>
            <w:r>
              <w:rPr>
                <w:rFonts w:hint="eastAsia" w:ascii="宋体" w:hAnsi="宋体"/>
                <w:bCs/>
                <w:sz w:val="21"/>
                <w:szCs w:val="21"/>
              </w:rPr>
              <w:t>e.投标人在投标活动中无欺诈行为；</w:t>
            </w:r>
          </w:p>
          <w:p>
            <w:pPr>
              <w:spacing w:line="276" w:lineRule="auto"/>
              <w:ind w:firstLine="105" w:firstLineChars="50"/>
              <w:rPr>
                <w:rFonts w:ascii="宋体" w:hAnsi="宋体"/>
                <w:bCs/>
                <w:sz w:val="21"/>
                <w:szCs w:val="21"/>
              </w:rPr>
            </w:pPr>
            <w:r>
              <w:rPr>
                <w:rFonts w:hint="eastAsia" w:ascii="宋体" w:hAnsi="宋体"/>
                <w:bCs/>
                <w:sz w:val="21"/>
                <w:szCs w:val="21"/>
              </w:rPr>
              <w:t>f.投标人未对合同条款有重要保留。</w:t>
            </w:r>
          </w:p>
          <w:p>
            <w:pPr>
              <w:spacing w:line="276" w:lineRule="auto"/>
              <w:ind w:firstLine="105" w:firstLineChars="50"/>
              <w:rPr>
                <w:rFonts w:hint="eastAsia" w:ascii="宋体" w:hAnsi="宋体"/>
                <w:b/>
                <w:sz w:val="21"/>
                <w:szCs w:val="21"/>
              </w:rPr>
            </w:pPr>
            <w:r>
              <w:rPr>
                <w:rFonts w:hint="eastAsia" w:ascii="宋体" w:hAnsi="宋体"/>
                <w:b/>
                <w:sz w:val="21"/>
                <w:szCs w:val="21"/>
              </w:rPr>
              <w:t>第二个信封（报价文件）评审标准：</w:t>
            </w:r>
          </w:p>
          <w:p>
            <w:pPr>
              <w:spacing w:line="276" w:lineRule="auto"/>
              <w:ind w:firstLine="105" w:firstLineChars="50"/>
              <w:rPr>
                <w:rFonts w:ascii="宋体" w:hAnsi="宋体"/>
                <w:bCs/>
                <w:sz w:val="21"/>
                <w:szCs w:val="21"/>
              </w:rPr>
            </w:pPr>
            <w:r>
              <w:rPr>
                <w:rFonts w:hint="eastAsia" w:ascii="宋体" w:hAnsi="宋体"/>
                <w:bCs/>
                <w:sz w:val="21"/>
                <w:szCs w:val="21"/>
              </w:rPr>
              <w:t>（1）投标文件按照招标文件规定的格式、内容填写，字迹清晰可辨，内容齐全完整：</w:t>
            </w:r>
          </w:p>
          <w:p>
            <w:pPr>
              <w:spacing w:line="276" w:lineRule="auto"/>
              <w:ind w:firstLine="105" w:firstLineChars="50"/>
              <w:rPr>
                <w:rFonts w:ascii="宋体" w:hAnsi="宋体"/>
                <w:bCs/>
                <w:sz w:val="21"/>
                <w:szCs w:val="21"/>
              </w:rPr>
            </w:pPr>
            <w:r>
              <w:rPr>
                <w:rFonts w:hint="eastAsia" w:ascii="宋体" w:hAnsi="宋体"/>
                <w:bCs/>
                <w:sz w:val="21"/>
                <w:szCs w:val="21"/>
              </w:rPr>
              <w:t>a.投标函按招标文件规定填报了项目名称、补遗书编号（如有）、投标价（包括大写金额和小写金额）；</w:t>
            </w:r>
          </w:p>
          <w:p>
            <w:pPr>
              <w:spacing w:line="276" w:lineRule="auto"/>
              <w:ind w:firstLine="105" w:firstLineChars="50"/>
              <w:rPr>
                <w:rFonts w:ascii="宋体" w:hAnsi="宋体"/>
                <w:bCs/>
                <w:sz w:val="21"/>
                <w:szCs w:val="21"/>
              </w:rPr>
            </w:pPr>
            <w:r>
              <w:rPr>
                <w:rFonts w:hint="eastAsia" w:ascii="宋体" w:hAnsi="宋体"/>
                <w:bCs/>
                <w:sz w:val="21"/>
                <w:szCs w:val="21"/>
              </w:rPr>
              <w:t>b.已标价报价清单说明文字与招标文件规定一致，未进行实质性修改和删减；</w:t>
            </w:r>
          </w:p>
          <w:p>
            <w:pPr>
              <w:spacing w:line="276" w:lineRule="auto"/>
              <w:ind w:firstLine="105" w:firstLineChars="50"/>
              <w:rPr>
                <w:rFonts w:hint="eastAsia" w:ascii="宋体" w:hAnsi="宋体"/>
                <w:bCs/>
                <w:sz w:val="21"/>
                <w:szCs w:val="21"/>
              </w:rPr>
            </w:pPr>
            <w:r>
              <w:rPr>
                <w:rFonts w:hint="eastAsia" w:ascii="宋体" w:hAnsi="宋体"/>
                <w:bCs/>
                <w:sz w:val="21"/>
                <w:szCs w:val="21"/>
              </w:rPr>
              <w:t>c.投标文件组成齐全完整，内容均按规定填写。</w:t>
            </w:r>
          </w:p>
          <w:p>
            <w:pPr>
              <w:spacing w:line="276" w:lineRule="auto"/>
              <w:ind w:firstLine="105" w:firstLineChars="50"/>
              <w:rPr>
                <w:rFonts w:hint="eastAsia" w:ascii="宋体" w:hAnsi="宋体"/>
                <w:bCs/>
                <w:sz w:val="21"/>
                <w:szCs w:val="21"/>
              </w:rPr>
            </w:pPr>
            <w:r>
              <w:rPr>
                <w:rFonts w:hint="eastAsia" w:ascii="宋体" w:hAnsi="宋体"/>
                <w:bCs/>
                <w:sz w:val="21"/>
                <w:szCs w:val="21"/>
              </w:rPr>
              <w:t>（2）投标文件上法定代表人或其委托代理人加盖的印章、投标人的单位章盖章齐全，符合招标文件规定。</w:t>
            </w:r>
          </w:p>
          <w:p>
            <w:pPr>
              <w:spacing w:line="276" w:lineRule="auto"/>
              <w:ind w:firstLine="105" w:firstLineChars="50"/>
              <w:rPr>
                <w:rFonts w:hint="eastAsia" w:ascii="宋体" w:hAnsi="宋体"/>
                <w:bCs/>
                <w:sz w:val="21"/>
                <w:szCs w:val="21"/>
              </w:rPr>
            </w:pPr>
            <w:r>
              <w:rPr>
                <w:rFonts w:hint="eastAsia" w:ascii="宋体" w:hAnsi="宋体"/>
                <w:bCs/>
                <w:sz w:val="21"/>
                <w:szCs w:val="21"/>
              </w:rPr>
              <w:t>（3）投标报价未超过招标文件设定的最高投标限价。</w:t>
            </w:r>
          </w:p>
          <w:p>
            <w:pPr>
              <w:spacing w:line="276" w:lineRule="auto"/>
              <w:ind w:firstLine="105" w:firstLineChars="50"/>
              <w:rPr>
                <w:rFonts w:hint="eastAsia" w:ascii="宋体" w:hAnsi="宋体"/>
                <w:bCs/>
                <w:sz w:val="21"/>
                <w:szCs w:val="21"/>
              </w:rPr>
            </w:pPr>
            <w:r>
              <w:rPr>
                <w:rFonts w:hint="eastAsia" w:ascii="宋体" w:hAnsi="宋体"/>
                <w:bCs/>
                <w:sz w:val="21"/>
                <w:szCs w:val="21"/>
              </w:rPr>
              <w:t>（4）投标报价的大写金额能够确定具体数值。</w:t>
            </w:r>
          </w:p>
          <w:p>
            <w:pPr>
              <w:spacing w:line="276" w:lineRule="auto"/>
              <w:ind w:firstLine="105" w:firstLineChars="50"/>
              <w:rPr>
                <w:rFonts w:hint="eastAsia" w:ascii="宋体" w:hAnsi="宋体"/>
                <w:bCs/>
                <w:sz w:val="21"/>
                <w:szCs w:val="21"/>
              </w:rPr>
            </w:pPr>
            <w:r>
              <w:rPr>
                <w:rFonts w:hint="eastAsia" w:ascii="宋体" w:hAnsi="宋体"/>
                <w:bCs/>
                <w:sz w:val="21"/>
                <w:szCs w:val="21"/>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spacing w:line="276" w:lineRule="auto"/>
              <w:jc w:val="center"/>
              <w:rPr>
                <w:rFonts w:ascii="宋体" w:hAnsi="宋体"/>
                <w:sz w:val="21"/>
                <w:szCs w:val="21"/>
              </w:rPr>
            </w:pPr>
            <w:r>
              <w:rPr>
                <w:rFonts w:hint="eastAsia" w:ascii="宋体" w:hAnsi="宋体"/>
                <w:sz w:val="21"/>
                <w:szCs w:val="21"/>
              </w:rPr>
              <w:t>2.1.2</w:t>
            </w:r>
          </w:p>
        </w:tc>
        <w:tc>
          <w:tcPr>
            <w:tcW w:w="1239" w:type="dxa"/>
            <w:vAlign w:val="center"/>
          </w:tcPr>
          <w:p>
            <w:pPr>
              <w:spacing w:line="276" w:lineRule="auto"/>
              <w:jc w:val="center"/>
              <w:rPr>
                <w:rFonts w:ascii="宋体" w:hAnsi="宋体"/>
                <w:sz w:val="21"/>
                <w:szCs w:val="21"/>
              </w:rPr>
            </w:pPr>
            <w:r>
              <w:rPr>
                <w:rFonts w:hint="eastAsia" w:ascii="宋体" w:hAnsi="宋体"/>
                <w:sz w:val="21"/>
                <w:szCs w:val="21"/>
              </w:rPr>
              <w:t>资格评审标准</w:t>
            </w:r>
          </w:p>
        </w:tc>
        <w:tc>
          <w:tcPr>
            <w:tcW w:w="7063" w:type="dxa"/>
          </w:tcPr>
          <w:p>
            <w:pPr>
              <w:tabs>
                <w:tab w:val="left" w:pos="3060"/>
              </w:tabs>
              <w:spacing w:line="276" w:lineRule="auto"/>
              <w:rPr>
                <w:rFonts w:hint="eastAsia" w:ascii="宋体" w:hAnsi="宋体"/>
                <w:sz w:val="21"/>
                <w:szCs w:val="21"/>
              </w:rPr>
            </w:pPr>
            <w:r>
              <w:rPr>
                <w:rFonts w:hint="eastAsia" w:ascii="宋体" w:hAnsi="宋体"/>
                <w:sz w:val="21"/>
                <w:szCs w:val="21"/>
              </w:rPr>
              <w:t>（1）投标人具备有效的营业执照、组织机构代码证（三证合一的除外）、  勘察资质证书、设计资质证书和基本账户开户许可证（或基本存款账户信息）；</w:t>
            </w:r>
          </w:p>
          <w:p>
            <w:pPr>
              <w:tabs>
                <w:tab w:val="left" w:pos="3060"/>
              </w:tabs>
              <w:spacing w:line="276" w:lineRule="auto"/>
              <w:rPr>
                <w:rFonts w:hint="eastAsia" w:ascii="宋体" w:hAnsi="宋体"/>
                <w:sz w:val="21"/>
                <w:szCs w:val="21"/>
              </w:rPr>
            </w:pPr>
            <w:r>
              <w:rPr>
                <w:rFonts w:hint="eastAsia" w:ascii="宋体" w:hAnsi="宋体"/>
                <w:sz w:val="21"/>
                <w:szCs w:val="21"/>
              </w:rPr>
              <w:t>（2）投标人的资质等级符合招标文件规定；</w:t>
            </w:r>
          </w:p>
          <w:p>
            <w:pPr>
              <w:tabs>
                <w:tab w:val="left" w:pos="3060"/>
              </w:tabs>
              <w:spacing w:line="276" w:lineRule="auto"/>
              <w:rPr>
                <w:rFonts w:hint="eastAsia" w:ascii="宋体" w:hAnsi="宋体"/>
                <w:sz w:val="21"/>
                <w:szCs w:val="21"/>
              </w:rPr>
            </w:pPr>
            <w:r>
              <w:rPr>
                <w:rFonts w:hint="eastAsia" w:ascii="宋体" w:hAnsi="宋体"/>
                <w:sz w:val="21"/>
                <w:szCs w:val="21"/>
              </w:rPr>
              <w:t>（3）投标人的类似项目业绩符合招标文件规定；</w:t>
            </w:r>
          </w:p>
          <w:p>
            <w:pPr>
              <w:tabs>
                <w:tab w:val="left" w:pos="3060"/>
              </w:tabs>
              <w:spacing w:line="276" w:lineRule="auto"/>
              <w:rPr>
                <w:rFonts w:hint="eastAsia" w:ascii="宋体" w:hAnsi="宋体"/>
                <w:sz w:val="21"/>
                <w:szCs w:val="21"/>
              </w:rPr>
            </w:pPr>
            <w:r>
              <w:rPr>
                <w:rFonts w:hint="eastAsia" w:ascii="宋体" w:hAnsi="宋体"/>
                <w:sz w:val="21"/>
                <w:szCs w:val="21"/>
              </w:rPr>
              <w:t>（4）投标人的信誉符合招标文件规定；</w:t>
            </w:r>
          </w:p>
          <w:p>
            <w:pPr>
              <w:tabs>
                <w:tab w:val="left" w:pos="3060"/>
              </w:tabs>
              <w:spacing w:line="276" w:lineRule="auto"/>
              <w:rPr>
                <w:rFonts w:hint="eastAsia" w:ascii="宋体" w:hAnsi="宋体"/>
                <w:sz w:val="21"/>
                <w:szCs w:val="21"/>
              </w:rPr>
            </w:pPr>
            <w:r>
              <w:rPr>
                <w:rFonts w:hint="eastAsia" w:ascii="宋体" w:hAnsi="宋体"/>
                <w:sz w:val="21"/>
                <w:szCs w:val="21"/>
              </w:rPr>
              <w:t>（5）投标人的项目负责人符合招标文件规定；</w:t>
            </w:r>
          </w:p>
          <w:p>
            <w:pPr>
              <w:tabs>
                <w:tab w:val="left" w:pos="3060"/>
              </w:tabs>
              <w:spacing w:line="276" w:lineRule="auto"/>
              <w:rPr>
                <w:rFonts w:hint="eastAsia" w:ascii="宋体" w:hAnsi="宋体"/>
                <w:sz w:val="21"/>
                <w:szCs w:val="21"/>
              </w:rPr>
            </w:pPr>
            <w:r>
              <w:rPr>
                <w:rFonts w:hint="eastAsia" w:ascii="宋体" w:hAnsi="宋体"/>
                <w:sz w:val="21"/>
                <w:szCs w:val="21"/>
              </w:rPr>
              <w:t>（6）投标人不存在第二章“投标人须知”第1.4.3项或第1.4.4项规定的任何一种情形。</w:t>
            </w:r>
          </w:p>
          <w:p>
            <w:pPr>
              <w:spacing w:line="276" w:lineRule="auto"/>
              <w:rPr>
                <w:rFonts w:hint="eastAsia" w:ascii="宋体" w:hAnsi="宋体"/>
                <w:sz w:val="21"/>
                <w:szCs w:val="21"/>
              </w:rPr>
            </w:pPr>
            <w:r>
              <w:rPr>
                <w:rFonts w:hint="eastAsia" w:ascii="宋体" w:hAnsi="宋体"/>
                <w:sz w:val="21"/>
                <w:szCs w:val="21"/>
              </w:rPr>
              <w:t>（7）投标人符合第二章“投标人须知”第1.4.5项规定。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spacing w:line="276" w:lineRule="auto"/>
              <w:jc w:val="center"/>
              <w:rPr>
                <w:rFonts w:ascii="宋体" w:hAnsi="宋体"/>
                <w:sz w:val="21"/>
                <w:szCs w:val="21"/>
              </w:rPr>
            </w:pPr>
            <w:r>
              <w:rPr>
                <w:rFonts w:hint="eastAsia" w:ascii="宋体" w:hAnsi="宋体"/>
                <w:sz w:val="21"/>
                <w:szCs w:val="21"/>
              </w:rPr>
              <w:t>2.2.1</w:t>
            </w:r>
          </w:p>
        </w:tc>
        <w:tc>
          <w:tcPr>
            <w:tcW w:w="1239" w:type="dxa"/>
            <w:vAlign w:val="center"/>
          </w:tcPr>
          <w:p>
            <w:pPr>
              <w:spacing w:line="276" w:lineRule="auto"/>
              <w:jc w:val="center"/>
              <w:rPr>
                <w:rFonts w:ascii="宋体" w:hAnsi="宋体"/>
                <w:sz w:val="21"/>
                <w:szCs w:val="21"/>
              </w:rPr>
            </w:pPr>
            <w:r>
              <w:rPr>
                <w:rFonts w:hint="eastAsia" w:ascii="宋体" w:hAnsi="宋体"/>
                <w:sz w:val="21"/>
                <w:szCs w:val="21"/>
              </w:rPr>
              <w:t>分值构成</w:t>
            </w:r>
          </w:p>
        </w:tc>
        <w:tc>
          <w:tcPr>
            <w:tcW w:w="7063" w:type="dxa"/>
            <w:vAlign w:val="center"/>
          </w:tcPr>
          <w:p>
            <w:pPr>
              <w:autoSpaceDE w:val="0"/>
              <w:autoSpaceDN w:val="0"/>
              <w:adjustRightInd w:val="0"/>
              <w:spacing w:line="276" w:lineRule="auto"/>
              <w:ind w:left="107"/>
              <w:jc w:val="left"/>
              <w:rPr>
                <w:rFonts w:ascii="宋体" w:hAnsi="宋体"/>
                <w:b/>
                <w:sz w:val="21"/>
                <w:szCs w:val="21"/>
              </w:rPr>
            </w:pPr>
            <w:r>
              <w:rPr>
                <w:rFonts w:hint="eastAsia" w:ascii="宋体" w:hAnsi="宋体"/>
                <w:b/>
                <w:sz w:val="21"/>
                <w:szCs w:val="21"/>
              </w:rPr>
              <w:t xml:space="preserve">第一信封（商务及技术文件）评分分值构成： </w:t>
            </w:r>
          </w:p>
          <w:p>
            <w:pPr>
              <w:autoSpaceDE w:val="0"/>
              <w:autoSpaceDN w:val="0"/>
              <w:adjustRightInd w:val="0"/>
              <w:spacing w:line="276" w:lineRule="auto"/>
              <w:ind w:left="107"/>
              <w:jc w:val="left"/>
              <w:rPr>
                <w:rFonts w:hint="eastAsia" w:ascii="宋体" w:hAnsi="宋体"/>
                <w:bCs/>
                <w:sz w:val="21"/>
                <w:szCs w:val="21"/>
              </w:rPr>
            </w:pPr>
            <w:r>
              <w:rPr>
                <w:rFonts w:hint="eastAsia" w:ascii="宋体" w:hAnsi="宋体"/>
                <w:bCs/>
                <w:sz w:val="21"/>
                <w:szCs w:val="21"/>
              </w:rPr>
              <w:t>技术建议书：40分</w:t>
            </w:r>
          </w:p>
          <w:p>
            <w:pPr>
              <w:autoSpaceDE w:val="0"/>
              <w:autoSpaceDN w:val="0"/>
              <w:adjustRightInd w:val="0"/>
              <w:spacing w:line="276" w:lineRule="auto"/>
              <w:ind w:left="107"/>
              <w:jc w:val="left"/>
              <w:rPr>
                <w:rFonts w:ascii="宋体" w:hAnsi="宋体"/>
                <w:bCs/>
                <w:sz w:val="21"/>
                <w:szCs w:val="21"/>
              </w:rPr>
            </w:pPr>
            <w:r>
              <w:rPr>
                <w:rFonts w:hint="eastAsia" w:ascii="宋体" w:hAnsi="宋体"/>
                <w:bCs/>
                <w:sz w:val="21"/>
                <w:szCs w:val="21"/>
              </w:rPr>
              <w:t>主要人员：25分</w:t>
            </w:r>
          </w:p>
          <w:p>
            <w:pPr>
              <w:autoSpaceDE w:val="0"/>
              <w:autoSpaceDN w:val="0"/>
              <w:adjustRightInd w:val="0"/>
              <w:spacing w:line="276" w:lineRule="auto"/>
              <w:ind w:left="107"/>
              <w:jc w:val="left"/>
              <w:rPr>
                <w:rFonts w:hint="eastAsia" w:ascii="宋体" w:hAnsi="宋体"/>
                <w:bCs/>
                <w:sz w:val="21"/>
                <w:szCs w:val="21"/>
              </w:rPr>
            </w:pPr>
            <w:r>
              <w:rPr>
                <w:rFonts w:hint="eastAsia" w:ascii="宋体" w:hAnsi="宋体"/>
                <w:bCs/>
                <w:sz w:val="21"/>
                <w:szCs w:val="21"/>
              </w:rPr>
              <w:t>业</w:t>
            </w:r>
            <w:r>
              <w:rPr>
                <w:rFonts w:hint="eastAsia" w:ascii="宋体" w:hAnsi="宋体"/>
                <w:bCs/>
                <w:sz w:val="21"/>
                <w:szCs w:val="21"/>
              </w:rPr>
              <w:tab/>
            </w:r>
            <w:r>
              <w:rPr>
                <w:rFonts w:hint="eastAsia" w:ascii="宋体" w:hAnsi="宋体"/>
                <w:bCs/>
                <w:sz w:val="21"/>
                <w:szCs w:val="21"/>
              </w:rPr>
              <w:t>绩：25分</w:t>
            </w:r>
          </w:p>
          <w:p>
            <w:pPr>
              <w:autoSpaceDE w:val="0"/>
              <w:autoSpaceDN w:val="0"/>
              <w:adjustRightInd w:val="0"/>
              <w:spacing w:line="276" w:lineRule="auto"/>
              <w:ind w:left="107"/>
              <w:jc w:val="left"/>
              <w:rPr>
                <w:rFonts w:hint="eastAsia" w:ascii="宋体" w:hAnsi="宋体"/>
                <w:b/>
                <w:sz w:val="21"/>
                <w:szCs w:val="21"/>
              </w:rPr>
            </w:pPr>
            <w:r>
              <w:rPr>
                <w:rFonts w:hint="eastAsia" w:ascii="宋体" w:hAnsi="宋体"/>
                <w:b/>
                <w:sz w:val="21"/>
                <w:szCs w:val="21"/>
              </w:rPr>
              <w:t>第二信封（报价文件）评分分值构成：</w:t>
            </w:r>
          </w:p>
          <w:p>
            <w:pPr>
              <w:autoSpaceDE w:val="0"/>
              <w:autoSpaceDN w:val="0"/>
              <w:adjustRightInd w:val="0"/>
              <w:spacing w:line="276" w:lineRule="auto"/>
              <w:ind w:left="107"/>
              <w:jc w:val="left"/>
              <w:rPr>
                <w:rFonts w:hint="eastAsia" w:ascii="宋体" w:hAnsi="宋体"/>
                <w:bCs/>
                <w:sz w:val="21"/>
                <w:szCs w:val="21"/>
              </w:rPr>
            </w:pPr>
            <w:r>
              <w:rPr>
                <w:rFonts w:hint="eastAsia" w:ascii="宋体" w:hAnsi="宋体"/>
                <w:bCs/>
                <w:sz w:val="21"/>
                <w:szCs w:val="21"/>
              </w:rPr>
              <w:t>评标价：10分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spacing w:line="276" w:lineRule="auto"/>
              <w:ind w:right="113"/>
              <w:jc w:val="center"/>
              <w:rPr>
                <w:rFonts w:hint="eastAsia" w:ascii="宋体" w:hAnsi="宋体"/>
                <w:sz w:val="21"/>
                <w:szCs w:val="21"/>
              </w:rPr>
            </w:pPr>
            <w:r>
              <w:rPr>
                <w:rFonts w:hint="eastAsia" w:ascii="宋体" w:hAnsi="宋体"/>
                <w:sz w:val="21"/>
                <w:szCs w:val="21"/>
              </w:rPr>
              <w:t>2.2.2</w:t>
            </w:r>
          </w:p>
        </w:tc>
        <w:tc>
          <w:tcPr>
            <w:tcW w:w="1239" w:type="dxa"/>
            <w:vAlign w:val="center"/>
          </w:tcPr>
          <w:p>
            <w:pPr>
              <w:spacing w:line="276" w:lineRule="auto"/>
              <w:ind w:left="2"/>
              <w:jc w:val="center"/>
              <w:rPr>
                <w:rFonts w:hint="eastAsia" w:ascii="宋体" w:hAnsi="宋体"/>
                <w:sz w:val="21"/>
                <w:szCs w:val="21"/>
              </w:rPr>
            </w:pPr>
            <w:r>
              <w:rPr>
                <w:rFonts w:hint="eastAsia" w:ascii="宋体" w:hAnsi="宋体"/>
                <w:sz w:val="21"/>
                <w:szCs w:val="21"/>
              </w:rPr>
              <w:t>评标基准价计算方法</w:t>
            </w:r>
          </w:p>
        </w:tc>
        <w:tc>
          <w:tcPr>
            <w:tcW w:w="7063" w:type="dxa"/>
            <w:vAlign w:val="center"/>
          </w:tcPr>
          <w:p>
            <w:pPr>
              <w:spacing w:line="276" w:lineRule="auto"/>
              <w:ind w:firstLine="371" w:firstLineChars="177"/>
              <w:rPr>
                <w:rFonts w:hint="eastAsia" w:ascii="宋体" w:hAnsi="宋体"/>
                <w:sz w:val="21"/>
                <w:szCs w:val="21"/>
              </w:rPr>
            </w:pPr>
            <w:r>
              <w:rPr>
                <w:rFonts w:hint="eastAsia" w:ascii="宋体" w:hAnsi="宋体"/>
                <w:sz w:val="21"/>
                <w:szCs w:val="21"/>
              </w:rPr>
              <w:t>所有通过第一个信封评审的投标文件，由评标委员会开启第二个信封，  并当场计算并宣布评标基准价。</w:t>
            </w:r>
          </w:p>
          <w:p>
            <w:pPr>
              <w:spacing w:line="276" w:lineRule="auto"/>
              <w:ind w:firstLine="371" w:firstLineChars="177"/>
              <w:rPr>
                <w:rFonts w:hint="eastAsia" w:ascii="宋体" w:hAnsi="宋体"/>
                <w:sz w:val="21"/>
                <w:szCs w:val="21"/>
              </w:rPr>
            </w:pPr>
            <w:r>
              <w:rPr>
                <w:rFonts w:hint="eastAsia" w:ascii="宋体" w:hAnsi="宋体"/>
                <w:sz w:val="21"/>
                <w:szCs w:val="21"/>
              </w:rPr>
              <w:t>（1）评标价的确定： 评标价=投标函文字报价</w:t>
            </w:r>
          </w:p>
          <w:p>
            <w:pPr>
              <w:spacing w:line="276" w:lineRule="auto"/>
              <w:ind w:firstLine="371" w:firstLineChars="177"/>
              <w:rPr>
                <w:rFonts w:hint="eastAsia" w:ascii="宋体" w:hAnsi="宋体"/>
                <w:sz w:val="21"/>
                <w:szCs w:val="21"/>
              </w:rPr>
            </w:pPr>
            <w:r>
              <w:rPr>
                <w:rFonts w:hint="eastAsia" w:ascii="宋体" w:hAnsi="宋体"/>
                <w:sz w:val="21"/>
                <w:szCs w:val="21"/>
              </w:rPr>
              <w:t>（2）评标价平均值的计算：</w:t>
            </w:r>
          </w:p>
          <w:p>
            <w:pPr>
              <w:spacing w:line="276" w:lineRule="auto"/>
              <w:ind w:firstLine="371" w:firstLineChars="177"/>
              <w:rPr>
                <w:rFonts w:hint="eastAsia" w:ascii="宋体" w:hAnsi="宋体"/>
                <w:sz w:val="21"/>
                <w:szCs w:val="21"/>
              </w:rPr>
            </w:pPr>
            <w:r>
              <w:rPr>
                <w:rFonts w:hint="eastAsia" w:ascii="宋体" w:hAnsi="宋体"/>
                <w:sz w:val="21"/>
                <w:szCs w:val="21"/>
              </w:rPr>
              <w:t>除按第二章“投标人须知”第 5.2.4 项规定开标现场被宣布为不进入评标基准价计算的投标报价之外的投标人评标价，所有投标人的评标价去掉n1 个最高评标价和n2 个最低评标价后的算术平均值即为评标价平均值：</w:t>
            </w:r>
          </w:p>
          <w:p>
            <w:pPr>
              <w:spacing w:line="276" w:lineRule="auto"/>
              <w:ind w:firstLine="371" w:firstLineChars="177"/>
              <w:rPr>
                <w:rFonts w:ascii="宋体" w:hAnsi="宋体"/>
                <w:sz w:val="21"/>
                <w:szCs w:val="21"/>
              </w:rPr>
            </w:pPr>
            <w:r>
              <w:rPr>
                <w:rFonts w:hint="eastAsia" w:ascii="宋体" w:hAnsi="宋体"/>
                <w:sz w:val="21"/>
                <w:szCs w:val="21"/>
              </w:rPr>
              <w:t>如果参与评标价平均值计算的投标人数量＜6 家时，n1=0，n2=0；</w:t>
            </w:r>
          </w:p>
          <w:p>
            <w:pPr>
              <w:spacing w:line="276" w:lineRule="auto"/>
              <w:ind w:firstLine="371" w:firstLineChars="177"/>
              <w:rPr>
                <w:rFonts w:ascii="宋体" w:hAnsi="宋体"/>
                <w:sz w:val="21"/>
                <w:szCs w:val="21"/>
              </w:rPr>
            </w:pPr>
            <w:r>
              <w:rPr>
                <w:rFonts w:hint="eastAsia" w:ascii="宋体" w:hAnsi="宋体"/>
                <w:sz w:val="21"/>
                <w:szCs w:val="21"/>
              </w:rPr>
              <w:t>6 家≤参与评标价平均值计算的投标人数量＜10 家时，n1=1，n2=1； 、参与评标价平均值计算的投标人数量≥10 家时，n1=2，n2=2；</w:t>
            </w:r>
          </w:p>
          <w:p>
            <w:pPr>
              <w:spacing w:line="276" w:lineRule="auto"/>
              <w:ind w:firstLine="371" w:firstLineChars="177"/>
              <w:rPr>
                <w:rFonts w:ascii="宋体" w:hAnsi="宋体"/>
                <w:sz w:val="21"/>
                <w:szCs w:val="21"/>
              </w:rPr>
            </w:pPr>
            <w:r>
              <w:rPr>
                <w:rFonts w:hint="eastAsia" w:ascii="宋体" w:hAnsi="宋体"/>
                <w:sz w:val="21"/>
                <w:szCs w:val="21"/>
              </w:rPr>
              <w:t>（3）评标基准价的确定：</w:t>
            </w:r>
          </w:p>
          <w:p>
            <w:pPr>
              <w:spacing w:line="276" w:lineRule="auto"/>
              <w:ind w:firstLine="371" w:firstLineChars="177"/>
              <w:rPr>
                <w:rFonts w:ascii="宋体" w:hAnsi="宋体"/>
                <w:sz w:val="21"/>
                <w:szCs w:val="21"/>
              </w:rPr>
            </w:pPr>
            <w:r>
              <w:rPr>
                <w:rFonts w:hint="eastAsia" w:ascii="宋体" w:hAnsi="宋体"/>
                <w:sz w:val="21"/>
                <w:szCs w:val="21"/>
              </w:rPr>
              <w:t xml:space="preserve">采取随机抽取的方式从下列方法中确定评标基准价的计算方法： </w:t>
            </w:r>
          </w:p>
          <w:p>
            <w:pPr>
              <w:spacing w:line="276" w:lineRule="auto"/>
              <w:ind w:firstLine="371" w:firstLineChars="177"/>
              <w:rPr>
                <w:rFonts w:ascii="宋体" w:hAnsi="宋体"/>
                <w:sz w:val="21"/>
                <w:szCs w:val="21"/>
              </w:rPr>
            </w:pPr>
            <w:r>
              <w:rPr>
                <w:rFonts w:hint="eastAsia" w:ascii="宋体" w:hAnsi="宋体"/>
                <w:sz w:val="21"/>
                <w:szCs w:val="21"/>
              </w:rPr>
              <w:t>方法一：评标价平均值直接作为评标基准价。</w:t>
            </w:r>
          </w:p>
          <w:p>
            <w:pPr>
              <w:spacing w:line="276" w:lineRule="auto"/>
              <w:ind w:firstLine="371" w:firstLineChars="177"/>
              <w:rPr>
                <w:rFonts w:ascii="宋体" w:hAnsi="宋体"/>
                <w:sz w:val="21"/>
                <w:szCs w:val="21"/>
              </w:rPr>
            </w:pPr>
            <w:r>
              <w:rPr>
                <w:rFonts w:hint="eastAsia" w:ascii="宋体" w:hAnsi="宋体"/>
                <w:sz w:val="21"/>
                <w:szCs w:val="21"/>
              </w:rPr>
              <w:t>方法二：对所有小于或者等于评标价平均值的评标价（不包括去掉的  n2 个最低评标价）进行第二次平均，第二次平均值即为评标基准价。</w:t>
            </w:r>
          </w:p>
          <w:p>
            <w:pPr>
              <w:spacing w:line="276" w:lineRule="auto"/>
              <w:ind w:firstLine="371" w:firstLineChars="177"/>
              <w:rPr>
                <w:rFonts w:ascii="宋体" w:hAnsi="宋体"/>
                <w:sz w:val="21"/>
                <w:szCs w:val="21"/>
              </w:rPr>
            </w:pPr>
            <w:r>
              <w:rPr>
                <w:rFonts w:hint="eastAsia" w:ascii="宋体" w:hAnsi="宋体"/>
                <w:sz w:val="21"/>
                <w:szCs w:val="21"/>
              </w:rPr>
              <w:t>方法三：评标价平均值乘以评标基准价系数 K，作为评标基准价。招标人设置评标基准价系数 K（取 0.995、0.99、0.985、0.98、0.975 共 5 个数值）。在开标现场随机抽取确定。</w:t>
            </w:r>
          </w:p>
          <w:p>
            <w:pPr>
              <w:spacing w:line="276" w:lineRule="auto"/>
              <w:ind w:firstLine="371" w:firstLineChars="177"/>
              <w:rPr>
                <w:rFonts w:ascii="宋体" w:hAnsi="宋体"/>
                <w:sz w:val="21"/>
                <w:szCs w:val="21"/>
              </w:rPr>
            </w:pPr>
            <w:r>
              <w:rPr>
                <w:rFonts w:hint="eastAsia" w:ascii="宋体" w:hAnsi="宋体"/>
                <w:sz w:val="21"/>
                <w:szCs w:val="21"/>
              </w:rPr>
              <w:t>在评标过程中，评标委员会应对招标人计算的评标基准价进行复核，  存在计算错误的应予以修正并在评标报告中作出说明。除此之外，评标基准价在整个评标期间保持不变，不随任何因素发生变化。</w:t>
            </w:r>
          </w:p>
          <w:p>
            <w:pPr>
              <w:spacing w:line="276" w:lineRule="auto"/>
              <w:rPr>
                <w:rFonts w:hint="eastAsia" w:ascii="宋体" w:hAnsi="宋体"/>
                <w:sz w:val="21"/>
                <w:szCs w:val="21"/>
              </w:rPr>
            </w:pPr>
            <w:r>
              <w:rPr>
                <w:rFonts w:hint="eastAsia" w:ascii="宋体" w:hAnsi="宋体"/>
                <w:sz w:val="21"/>
                <w:szCs w:val="21"/>
              </w:rPr>
              <w:t>评标价平均值、评标基准价保留小数点后两位，小数点后第三位四舍五入。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spacing w:line="276" w:lineRule="auto"/>
              <w:ind w:right="113"/>
              <w:jc w:val="center"/>
              <w:rPr>
                <w:rFonts w:hint="eastAsia" w:ascii="宋体" w:hAnsi="宋体"/>
                <w:sz w:val="21"/>
                <w:szCs w:val="21"/>
              </w:rPr>
            </w:pPr>
            <w:r>
              <w:rPr>
                <w:rFonts w:hint="eastAsia" w:ascii="宋体" w:hAnsi="宋体"/>
                <w:sz w:val="21"/>
                <w:szCs w:val="21"/>
              </w:rPr>
              <w:t>2.2.3</w:t>
            </w:r>
          </w:p>
        </w:tc>
        <w:tc>
          <w:tcPr>
            <w:tcW w:w="1239" w:type="dxa"/>
            <w:vAlign w:val="center"/>
          </w:tcPr>
          <w:p>
            <w:pPr>
              <w:spacing w:line="276" w:lineRule="auto"/>
              <w:ind w:left="-42" w:leftChars="-15" w:right="-77"/>
              <w:jc w:val="center"/>
              <w:rPr>
                <w:rFonts w:hint="eastAsia" w:ascii="宋体" w:hAnsi="宋体"/>
                <w:sz w:val="21"/>
                <w:szCs w:val="21"/>
              </w:rPr>
            </w:pPr>
            <w:r>
              <w:rPr>
                <w:rFonts w:hint="eastAsia" w:ascii="宋体" w:hAnsi="宋体"/>
                <w:sz w:val="21"/>
                <w:szCs w:val="21"/>
              </w:rPr>
              <w:t>评标价的偏差率计算公式</w:t>
            </w:r>
          </w:p>
        </w:tc>
        <w:tc>
          <w:tcPr>
            <w:tcW w:w="7063" w:type="dxa"/>
            <w:vAlign w:val="center"/>
          </w:tcPr>
          <w:p>
            <w:pPr>
              <w:spacing w:line="276" w:lineRule="auto"/>
              <w:ind w:left="113" w:right="113" w:firstLine="210" w:firstLineChars="100"/>
              <w:rPr>
                <w:rFonts w:ascii="宋体" w:hAnsi="宋体"/>
                <w:sz w:val="21"/>
                <w:szCs w:val="21"/>
              </w:rPr>
            </w:pPr>
            <w:r>
              <w:rPr>
                <w:rFonts w:hint="eastAsia" w:ascii="宋体" w:hAnsi="宋体"/>
                <w:sz w:val="21"/>
                <w:szCs w:val="21"/>
              </w:rPr>
              <w:t>偏差率=100%×（投标人评标价-评标基准价）/评标基准价</w:t>
            </w:r>
          </w:p>
          <w:p>
            <w:pPr>
              <w:spacing w:line="276" w:lineRule="auto"/>
              <w:ind w:left="113" w:right="113" w:firstLine="210" w:firstLineChars="100"/>
              <w:rPr>
                <w:rFonts w:hint="eastAsia" w:ascii="宋体" w:hAnsi="宋体"/>
                <w:sz w:val="21"/>
                <w:szCs w:val="21"/>
              </w:rPr>
            </w:pPr>
            <w:r>
              <w:rPr>
                <w:rFonts w:hint="eastAsia" w:ascii="宋体" w:hAnsi="宋体"/>
                <w:sz w:val="21"/>
                <w:szCs w:val="21"/>
              </w:rPr>
              <w:t>偏差率保留 2 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spacing w:line="276" w:lineRule="auto"/>
              <w:ind w:right="113"/>
              <w:jc w:val="center"/>
              <w:rPr>
                <w:rFonts w:hint="eastAsia" w:ascii="宋体" w:hAnsi="宋体"/>
                <w:sz w:val="21"/>
                <w:szCs w:val="21"/>
              </w:rPr>
            </w:pPr>
            <w:r>
              <w:rPr>
                <w:rFonts w:hint="eastAsia" w:ascii="宋体" w:hAnsi="宋体"/>
                <w:sz w:val="21"/>
                <w:szCs w:val="21"/>
              </w:rPr>
              <w:t>3.</w:t>
            </w:r>
            <w:r>
              <w:rPr>
                <w:rFonts w:ascii="宋体" w:hAnsi="宋体"/>
                <w:sz w:val="21"/>
                <w:szCs w:val="21"/>
              </w:rPr>
              <w:t>6</w:t>
            </w:r>
            <w:r>
              <w:rPr>
                <w:rFonts w:hint="eastAsia" w:ascii="宋体" w:hAnsi="宋体"/>
                <w:sz w:val="21"/>
                <w:szCs w:val="21"/>
              </w:rPr>
              <w:t>.1</w:t>
            </w:r>
          </w:p>
        </w:tc>
        <w:tc>
          <w:tcPr>
            <w:tcW w:w="1239" w:type="dxa"/>
            <w:vAlign w:val="center"/>
          </w:tcPr>
          <w:p>
            <w:pPr>
              <w:spacing w:line="276" w:lineRule="auto"/>
              <w:ind w:left="-42" w:leftChars="-15" w:right="-77"/>
              <w:jc w:val="center"/>
              <w:rPr>
                <w:rFonts w:hint="eastAsia" w:ascii="宋体" w:hAnsi="宋体"/>
                <w:sz w:val="21"/>
                <w:szCs w:val="21"/>
              </w:rPr>
            </w:pPr>
            <w:r>
              <w:rPr>
                <w:rFonts w:hint="eastAsia" w:ascii="宋体" w:hAnsi="宋体"/>
                <w:sz w:val="21"/>
                <w:szCs w:val="21"/>
              </w:rPr>
              <w:t>投标文件相关信息核查</w:t>
            </w:r>
          </w:p>
        </w:tc>
        <w:tc>
          <w:tcPr>
            <w:tcW w:w="7063" w:type="dxa"/>
            <w:vAlign w:val="center"/>
          </w:tcPr>
          <w:p>
            <w:pPr>
              <w:spacing w:line="276" w:lineRule="auto"/>
              <w:ind w:left="-42" w:leftChars="-15" w:right="-77"/>
              <w:rPr>
                <w:rFonts w:hint="eastAsia" w:ascii="宋体" w:hAnsi="宋体"/>
                <w:sz w:val="21"/>
                <w:szCs w:val="21"/>
              </w:rPr>
            </w:pPr>
            <w:r>
              <w:rPr>
                <w:rFonts w:hint="eastAsia" w:ascii="宋体" w:hAnsi="宋体"/>
                <w:sz w:val="21"/>
                <w:szCs w:val="21"/>
              </w:rPr>
              <w:t>在评标过程中，评标委员会应对以下信息进行查询：</w:t>
            </w:r>
          </w:p>
          <w:p>
            <w:pPr>
              <w:spacing w:line="276" w:lineRule="auto"/>
              <w:ind w:left="-42" w:leftChars="-15" w:right="-77"/>
              <w:rPr>
                <w:rFonts w:hint="eastAsia" w:ascii="宋体" w:hAnsi="宋体"/>
                <w:sz w:val="21"/>
                <w:szCs w:val="21"/>
              </w:rPr>
            </w:pPr>
            <w:r>
              <w:rPr>
                <w:rFonts w:hint="eastAsia" w:ascii="宋体" w:hAnsi="宋体"/>
                <w:sz w:val="21"/>
                <w:szCs w:val="21"/>
              </w:rPr>
              <w:t>（1）投标人名称和设计资质与“全国公路建设市场信用信息管理系统</w:t>
            </w:r>
          </w:p>
          <w:p>
            <w:pPr>
              <w:spacing w:line="276" w:lineRule="auto"/>
              <w:ind w:left="-42" w:leftChars="-15" w:right="-77"/>
              <w:rPr>
                <w:rFonts w:hint="eastAsia" w:ascii="宋体" w:hAnsi="宋体"/>
                <w:b/>
                <w:bCs/>
                <w:sz w:val="21"/>
                <w:szCs w:val="21"/>
              </w:rPr>
            </w:pPr>
            <w:r>
              <w:rPr>
                <w:rFonts w:hint="eastAsia" w:ascii="宋体" w:hAnsi="宋体"/>
                <w:sz w:val="21"/>
                <w:szCs w:val="21"/>
              </w:rPr>
              <w:t>（http://glxy.mot.gov.cn/）”的复核结果一致；</w:t>
            </w:r>
            <w:r>
              <w:rPr>
                <w:rFonts w:hint="eastAsia" w:ascii="宋体" w:hAnsi="宋体"/>
                <w:b/>
                <w:bCs/>
                <w:sz w:val="21"/>
                <w:szCs w:val="21"/>
              </w:rPr>
              <w:t>注：工程设计综合甲级和建筑行业建筑工程设计甲级资质无需在“全国公路建设市场信用信息管理系统”查询。</w:t>
            </w:r>
          </w:p>
          <w:p>
            <w:pPr>
              <w:spacing w:line="276" w:lineRule="auto"/>
              <w:ind w:left="-42" w:leftChars="-15" w:right="-77"/>
              <w:rPr>
                <w:rFonts w:hint="eastAsia" w:ascii="宋体" w:hAnsi="宋体"/>
                <w:sz w:val="21"/>
                <w:szCs w:val="21"/>
              </w:rPr>
            </w:pPr>
            <w:r>
              <w:rPr>
                <w:rFonts w:hint="eastAsia" w:ascii="宋体" w:hAnsi="宋体"/>
                <w:sz w:val="21"/>
                <w:szCs w:val="21"/>
              </w:rPr>
              <w:t>（2）投标人的类似项目业绩详细信息网页截图的内容与“全国公路建设市场信用信管理系统（http://glxy.mot.gov.cn/）”的复核结果一致；</w:t>
            </w:r>
          </w:p>
          <w:p>
            <w:pPr>
              <w:spacing w:line="276" w:lineRule="auto"/>
              <w:ind w:left="-42" w:leftChars="-15" w:right="-77"/>
              <w:rPr>
                <w:rFonts w:hint="eastAsia" w:ascii="宋体" w:hAnsi="宋体"/>
                <w:sz w:val="21"/>
                <w:szCs w:val="21"/>
              </w:rPr>
            </w:pPr>
            <w:r>
              <w:rPr>
                <w:rFonts w:hint="eastAsia" w:ascii="宋体" w:hAnsi="宋体"/>
                <w:sz w:val="21"/>
                <w:szCs w:val="21"/>
              </w:rPr>
              <w:t>（3）所附项目负责人业绩的网页截图的内容与“全国公路建设市场信 用信息管理系统（http://glxy.mot.gov.cn/）”的复核结果一致；</w:t>
            </w:r>
          </w:p>
          <w:p>
            <w:pPr>
              <w:spacing w:line="276" w:lineRule="auto"/>
              <w:ind w:left="-42" w:leftChars="-15" w:right="-77"/>
              <w:rPr>
                <w:rFonts w:hint="eastAsia" w:ascii="宋体" w:hAnsi="宋体"/>
                <w:sz w:val="21"/>
                <w:szCs w:val="21"/>
              </w:rPr>
            </w:pPr>
            <w:r>
              <w:rPr>
                <w:rFonts w:hint="eastAsia" w:ascii="宋体" w:hAnsi="宋体"/>
                <w:sz w:val="21"/>
                <w:szCs w:val="21"/>
              </w:rPr>
              <w:t>（4）投标人信用情况网页截图内容与在“国家企业信用信息公示系统”中严重违法失信企业名单（不含分公司）或在“信用中国”网站“中失信被执行人名单、经营异常名录、税收违法黑名单、政府采购严重违法失信名单（均不含分公司）的复核结果一致。</w:t>
            </w:r>
          </w:p>
          <w:p>
            <w:pPr>
              <w:ind w:left="-42" w:leftChars="-15" w:right="-77"/>
              <w:rPr>
                <w:rFonts w:hint="eastAsia" w:ascii="宋体" w:hAnsi="宋体"/>
                <w:sz w:val="21"/>
                <w:szCs w:val="21"/>
              </w:rPr>
            </w:pPr>
            <w:r>
              <w:rPr>
                <w:rFonts w:hint="eastAsia" w:ascii="宋体" w:hAnsi="宋体"/>
                <w:sz w:val="21"/>
                <w:szCs w:val="21"/>
              </w:rPr>
              <w:t>前述（1）、（2）、（3）、（4）项如投标人未提供相关网页截图或所附截图与复核结果不一致导致不能满足资格评审要求的，评标委员会应否决其投标。</w:t>
            </w:r>
          </w:p>
          <w:p>
            <w:pPr>
              <w:spacing w:line="276" w:lineRule="auto"/>
              <w:ind w:left="-42" w:leftChars="-15" w:right="-77"/>
              <w:rPr>
                <w:rFonts w:hint="eastAsia" w:ascii="宋体" w:hAnsi="宋体"/>
                <w:sz w:val="21"/>
                <w:szCs w:val="21"/>
              </w:rPr>
            </w:pPr>
            <w:r>
              <w:rPr>
                <w:rFonts w:hint="eastAsia" w:ascii="宋体" w:hAnsi="宋体"/>
                <w:sz w:val="21"/>
                <w:szCs w:val="21"/>
              </w:rPr>
              <w:t>投标人应当及时核查并更新政府网站公开的相关信息，并承担由于信 息填报不完整或者不准确等原因导致投标可能被否决的后果。相关信息由投标人填报的，其真实性由投标人负责，经查证与事实不符的，视为投标过程中的弄虚作假为，按相关规定处理。</w:t>
            </w:r>
          </w:p>
          <w:p>
            <w:pPr>
              <w:spacing w:line="276" w:lineRule="auto"/>
              <w:ind w:left="-42" w:leftChars="-15" w:right="-77"/>
              <w:rPr>
                <w:rFonts w:hint="eastAsia" w:ascii="宋体" w:hAnsi="宋体"/>
                <w:sz w:val="21"/>
                <w:szCs w:val="21"/>
              </w:rPr>
            </w:pPr>
            <w:r>
              <w:rPr>
                <w:rFonts w:hint="eastAsia" w:ascii="宋体" w:hAnsi="宋体"/>
                <w:sz w:val="21"/>
                <w:szCs w:val="21"/>
              </w:rPr>
              <w:t>（5）评标委员会在评标时按照投标人提供的验证方式对电子保证保险保函进行验证。如投标人未提供保证保险保函在线验证方式，或提供根据验证方式无法核实的，或核实结果不符的，评标委员会应否决其投标。</w:t>
            </w:r>
          </w:p>
        </w:tc>
      </w:tr>
    </w:tbl>
    <w:p>
      <w:pPr>
        <w:jc w:val="right"/>
        <w:rPr>
          <w:rFonts w:ascii="宋体" w:hAnsi="宋体"/>
          <w:sz w:val="24"/>
        </w:rPr>
      </w:pPr>
    </w:p>
    <w:p>
      <w:pPr>
        <w:jc w:val="left"/>
        <w:rPr>
          <w:rFonts w:ascii="宋体" w:hAnsi="宋体"/>
          <w:szCs w:val="21"/>
        </w:rPr>
      </w:pPr>
      <w:r>
        <w:rPr>
          <w:rFonts w:ascii="宋体" w:hAnsi="宋体"/>
          <w:sz w:val="24"/>
        </w:rPr>
        <w:br w:type="page"/>
      </w:r>
      <w:r>
        <w:rPr>
          <w:rFonts w:hint="eastAsia" w:ascii="宋体" w:hAnsi="宋体"/>
          <w:sz w:val="24"/>
        </w:rPr>
        <w:t>续上表</w:t>
      </w:r>
    </w:p>
    <w:tbl>
      <w:tblPr>
        <w:tblStyle w:val="7"/>
        <w:tblW w:w="10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771"/>
        <w:gridCol w:w="865"/>
        <w:gridCol w:w="1290"/>
        <w:gridCol w:w="629"/>
        <w:gridCol w:w="886"/>
        <w:gridCol w:w="5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327" w:type="dxa"/>
            <w:gridSpan w:val="5"/>
            <w:vAlign w:val="center"/>
          </w:tcPr>
          <w:p>
            <w:pPr>
              <w:pStyle w:val="5"/>
              <w:spacing w:line="276" w:lineRule="auto"/>
              <w:jc w:val="center"/>
              <w:rPr>
                <w:rFonts w:hint="eastAsia" w:hAnsi="宋体"/>
                <w:szCs w:val="21"/>
              </w:rPr>
            </w:pPr>
            <w:r>
              <w:rPr>
                <w:rFonts w:hint="eastAsia" w:hAnsi="宋体"/>
                <w:szCs w:val="21"/>
              </w:rPr>
              <w:t>评分因素与权重分值</w:t>
            </w:r>
          </w:p>
        </w:tc>
        <w:tc>
          <w:tcPr>
            <w:tcW w:w="6033" w:type="dxa"/>
            <w:gridSpan w:val="2"/>
            <w:vMerge w:val="restart"/>
            <w:vAlign w:val="center"/>
          </w:tcPr>
          <w:p>
            <w:pPr>
              <w:pStyle w:val="5"/>
              <w:spacing w:line="276" w:lineRule="auto"/>
              <w:jc w:val="center"/>
              <w:rPr>
                <w:rFonts w:hint="eastAsia" w:hAnsi="宋体"/>
                <w:szCs w:val="21"/>
              </w:rPr>
            </w:pPr>
            <w:r>
              <w:rPr>
                <w:rFonts w:hint="eastAsia" w:hAnsi="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72" w:type="dxa"/>
            <w:tcBorders>
              <w:top w:val="single" w:color="auto" w:sz="4" w:space="0"/>
              <w:left w:val="single" w:color="auto" w:sz="4" w:space="0"/>
              <w:bottom w:val="single" w:color="auto" w:sz="4" w:space="0"/>
              <w:right w:val="single" w:color="auto" w:sz="4" w:space="0"/>
            </w:tcBorders>
            <w:vAlign w:val="center"/>
          </w:tcPr>
          <w:p>
            <w:pPr>
              <w:pStyle w:val="5"/>
              <w:spacing w:line="276" w:lineRule="auto"/>
              <w:jc w:val="center"/>
              <w:rPr>
                <w:rFonts w:hAnsi="宋体"/>
                <w:szCs w:val="21"/>
              </w:rPr>
            </w:pPr>
            <w:r>
              <w:rPr>
                <w:rFonts w:hint="eastAsia" w:hAnsi="宋体"/>
                <w:szCs w:val="21"/>
              </w:rPr>
              <w:t>条款号</w:t>
            </w:r>
          </w:p>
        </w:tc>
        <w:tc>
          <w:tcPr>
            <w:tcW w:w="771" w:type="dxa"/>
            <w:tcBorders>
              <w:top w:val="single" w:color="auto" w:sz="4" w:space="0"/>
              <w:left w:val="single" w:color="auto" w:sz="4" w:space="0"/>
              <w:bottom w:val="single" w:color="auto" w:sz="4" w:space="0"/>
              <w:right w:val="single" w:color="auto" w:sz="4" w:space="0"/>
            </w:tcBorders>
            <w:vAlign w:val="center"/>
          </w:tcPr>
          <w:p>
            <w:pPr>
              <w:pStyle w:val="5"/>
              <w:spacing w:line="276" w:lineRule="auto"/>
              <w:jc w:val="center"/>
              <w:rPr>
                <w:rFonts w:hint="eastAsia" w:hAnsi="宋体"/>
                <w:szCs w:val="21"/>
              </w:rPr>
            </w:pPr>
            <w:r>
              <w:rPr>
                <w:rFonts w:hint="eastAsia" w:hAnsi="宋体"/>
                <w:szCs w:val="21"/>
              </w:rPr>
              <w:t>评分因素</w:t>
            </w:r>
          </w:p>
        </w:tc>
        <w:tc>
          <w:tcPr>
            <w:tcW w:w="865" w:type="dxa"/>
            <w:tcBorders>
              <w:top w:val="single" w:color="auto" w:sz="4" w:space="0"/>
              <w:left w:val="single" w:color="auto" w:sz="4" w:space="0"/>
              <w:bottom w:val="single" w:color="auto" w:sz="4" w:space="0"/>
              <w:right w:val="single" w:color="auto" w:sz="4" w:space="0"/>
            </w:tcBorders>
            <w:vAlign w:val="center"/>
          </w:tcPr>
          <w:p>
            <w:pPr>
              <w:pStyle w:val="5"/>
              <w:spacing w:line="276" w:lineRule="auto"/>
              <w:ind w:left="-53" w:leftChars="-19" w:right="-42" w:rightChars="-15" w:firstLine="1"/>
              <w:jc w:val="center"/>
              <w:rPr>
                <w:rFonts w:hAnsi="宋体"/>
                <w:szCs w:val="21"/>
              </w:rPr>
            </w:pPr>
            <w:r>
              <w:rPr>
                <w:rFonts w:hint="eastAsia" w:hAnsi="宋体"/>
                <w:szCs w:val="21"/>
              </w:rPr>
              <w:t>评分因素 权重分值</w:t>
            </w:r>
          </w:p>
        </w:tc>
        <w:tc>
          <w:tcPr>
            <w:tcW w:w="1290" w:type="dxa"/>
            <w:tcBorders>
              <w:top w:val="single" w:color="auto" w:sz="4" w:space="0"/>
              <w:left w:val="single" w:color="auto" w:sz="4" w:space="0"/>
              <w:bottom w:val="single" w:color="auto" w:sz="4" w:space="0"/>
              <w:right w:val="single" w:color="auto" w:sz="4" w:space="0"/>
            </w:tcBorders>
            <w:vAlign w:val="center"/>
          </w:tcPr>
          <w:p>
            <w:pPr>
              <w:pStyle w:val="5"/>
              <w:spacing w:line="276" w:lineRule="auto"/>
              <w:jc w:val="center"/>
              <w:rPr>
                <w:rFonts w:hAnsi="宋体"/>
                <w:szCs w:val="21"/>
              </w:rPr>
            </w:pPr>
            <w:r>
              <w:rPr>
                <w:rStyle w:val="14"/>
              </w:rPr>
              <w:t>各评分因素细分项</w:t>
            </w:r>
          </w:p>
        </w:tc>
        <w:tc>
          <w:tcPr>
            <w:tcW w:w="629" w:type="dxa"/>
            <w:tcBorders>
              <w:left w:val="single" w:color="auto" w:sz="4" w:space="0"/>
            </w:tcBorders>
            <w:vAlign w:val="center"/>
          </w:tcPr>
          <w:p>
            <w:pPr>
              <w:pStyle w:val="5"/>
              <w:spacing w:line="276" w:lineRule="auto"/>
              <w:jc w:val="center"/>
              <w:rPr>
                <w:rFonts w:hAnsi="宋体"/>
                <w:szCs w:val="21"/>
              </w:rPr>
            </w:pPr>
            <w:r>
              <w:rPr>
                <w:rFonts w:hint="eastAsia" w:hAnsi="宋体"/>
                <w:szCs w:val="21"/>
              </w:rPr>
              <w:t>分值</w:t>
            </w:r>
          </w:p>
        </w:tc>
        <w:tc>
          <w:tcPr>
            <w:tcW w:w="6033" w:type="dxa"/>
            <w:gridSpan w:val="2"/>
            <w:vMerge w:val="continue"/>
            <w:vAlign w:val="center"/>
          </w:tcPr>
          <w:p>
            <w:pPr>
              <w:pStyle w:val="5"/>
              <w:spacing w:line="276"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restart"/>
            <w:tcBorders>
              <w:top w:val="single" w:color="auto" w:sz="4" w:space="0"/>
            </w:tcBorders>
            <w:vAlign w:val="center"/>
          </w:tcPr>
          <w:p>
            <w:pPr>
              <w:pStyle w:val="5"/>
              <w:spacing w:line="276" w:lineRule="auto"/>
              <w:jc w:val="center"/>
              <w:rPr>
                <w:rFonts w:hAnsi="宋体"/>
                <w:szCs w:val="21"/>
              </w:rPr>
            </w:pPr>
            <w:r>
              <w:rPr>
                <w:rFonts w:hint="eastAsia" w:hAnsi="宋体"/>
                <w:szCs w:val="21"/>
              </w:rPr>
              <w:t>2.2.4（1）</w:t>
            </w:r>
          </w:p>
        </w:tc>
        <w:tc>
          <w:tcPr>
            <w:tcW w:w="771" w:type="dxa"/>
            <w:vMerge w:val="restart"/>
            <w:tcBorders>
              <w:top w:val="single" w:color="auto" w:sz="4" w:space="0"/>
            </w:tcBorders>
            <w:vAlign w:val="center"/>
          </w:tcPr>
          <w:p>
            <w:pPr>
              <w:pStyle w:val="5"/>
              <w:spacing w:line="276" w:lineRule="auto"/>
              <w:jc w:val="center"/>
              <w:rPr>
                <w:rFonts w:hint="eastAsia" w:hAnsi="宋体"/>
                <w:szCs w:val="21"/>
              </w:rPr>
            </w:pPr>
            <w:r>
              <w:rPr>
                <w:rFonts w:hint="eastAsia" w:hAnsi="宋体"/>
                <w:szCs w:val="21"/>
              </w:rPr>
              <w:t>技术建议书</w:t>
            </w:r>
          </w:p>
        </w:tc>
        <w:tc>
          <w:tcPr>
            <w:tcW w:w="865" w:type="dxa"/>
            <w:vMerge w:val="restart"/>
            <w:tcBorders>
              <w:top w:val="single" w:color="auto" w:sz="4" w:space="0"/>
            </w:tcBorders>
            <w:vAlign w:val="center"/>
          </w:tcPr>
          <w:p>
            <w:pPr>
              <w:pStyle w:val="5"/>
              <w:spacing w:line="276" w:lineRule="auto"/>
              <w:jc w:val="center"/>
              <w:rPr>
                <w:rFonts w:hAnsi="宋体"/>
                <w:szCs w:val="21"/>
              </w:rPr>
            </w:pPr>
            <w:r>
              <w:rPr>
                <w:rFonts w:hint="eastAsia" w:hAnsi="宋体"/>
                <w:szCs w:val="21"/>
              </w:rPr>
              <w:t>4</w:t>
            </w:r>
            <w:r>
              <w:rPr>
                <w:rFonts w:hAnsi="宋体"/>
                <w:szCs w:val="21"/>
              </w:rPr>
              <w:t>0</w:t>
            </w:r>
            <w:r>
              <w:rPr>
                <w:rFonts w:hint="eastAsia" w:hAnsi="宋体"/>
                <w:szCs w:val="21"/>
              </w:rPr>
              <w:t>分</w:t>
            </w:r>
          </w:p>
        </w:tc>
        <w:tc>
          <w:tcPr>
            <w:tcW w:w="1290" w:type="dxa"/>
            <w:vMerge w:val="restart"/>
            <w:tcBorders>
              <w:top w:val="single" w:color="auto" w:sz="4" w:space="0"/>
            </w:tcBorders>
            <w:vAlign w:val="center"/>
          </w:tcPr>
          <w:p>
            <w:pPr>
              <w:spacing w:line="276" w:lineRule="auto"/>
              <w:rPr>
                <w:rFonts w:hint="eastAsia" w:ascii="宋体" w:hAnsi="宋体"/>
                <w:sz w:val="21"/>
                <w:szCs w:val="21"/>
              </w:rPr>
            </w:pPr>
            <w:r>
              <w:rPr>
                <w:rFonts w:hint="eastAsia" w:ascii="宋体" w:hAnsi="宋体"/>
                <w:sz w:val="21"/>
                <w:szCs w:val="21"/>
              </w:rPr>
              <w:t>对招标项目的理解和总体思路</w:t>
            </w:r>
          </w:p>
        </w:tc>
        <w:tc>
          <w:tcPr>
            <w:tcW w:w="629" w:type="dxa"/>
            <w:vMerge w:val="restart"/>
            <w:vAlign w:val="center"/>
          </w:tcPr>
          <w:p>
            <w:pPr>
              <w:spacing w:line="276" w:lineRule="auto"/>
              <w:rPr>
                <w:rFonts w:ascii="宋体" w:hAnsi="宋体"/>
                <w:sz w:val="21"/>
                <w:szCs w:val="21"/>
              </w:rPr>
            </w:pPr>
            <w:r>
              <w:rPr>
                <w:rFonts w:hint="eastAsia" w:ascii="宋体" w:hAnsi="宋体"/>
                <w:sz w:val="21"/>
                <w:szCs w:val="21"/>
              </w:rPr>
              <w:t>10分</w:t>
            </w:r>
          </w:p>
        </w:tc>
        <w:tc>
          <w:tcPr>
            <w:tcW w:w="886" w:type="dxa"/>
            <w:vMerge w:val="restart"/>
            <w:vAlign w:val="center"/>
          </w:tcPr>
          <w:p>
            <w:pPr>
              <w:spacing w:line="276" w:lineRule="auto"/>
              <w:rPr>
                <w:rFonts w:ascii="宋体" w:hAnsi="宋体"/>
                <w:sz w:val="21"/>
                <w:szCs w:val="21"/>
              </w:rPr>
            </w:pPr>
            <w:r>
              <w:rPr>
                <w:rFonts w:hint="eastAsia" w:ascii="宋体" w:hAnsi="宋体"/>
                <w:sz w:val="21"/>
                <w:szCs w:val="21"/>
              </w:rPr>
              <w:t>对招标项目的理解（5分）</w:t>
            </w:r>
          </w:p>
        </w:tc>
        <w:tc>
          <w:tcPr>
            <w:tcW w:w="5147" w:type="dxa"/>
            <w:vAlign w:val="center"/>
          </w:tcPr>
          <w:p>
            <w:pPr>
              <w:spacing w:line="276" w:lineRule="auto"/>
              <w:rPr>
                <w:rFonts w:ascii="宋体" w:hAnsi="宋体"/>
                <w:sz w:val="21"/>
                <w:szCs w:val="21"/>
              </w:rPr>
            </w:pPr>
            <w:r>
              <w:rPr>
                <w:rFonts w:hint="eastAsia" w:ascii="宋体" w:hAnsi="宋体"/>
                <w:sz w:val="21"/>
                <w:szCs w:val="21"/>
              </w:rPr>
              <w:t xml:space="preserve">理解基本准确，得 3.0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vAlign w:val="center"/>
          </w:tcPr>
          <w:p>
            <w:pPr>
              <w:pStyle w:val="5"/>
              <w:spacing w:line="276" w:lineRule="auto"/>
              <w:jc w:val="center"/>
              <w:rPr>
                <w:rFonts w:hAnsi="宋体"/>
                <w:szCs w:val="21"/>
              </w:rPr>
            </w:pPr>
          </w:p>
        </w:tc>
        <w:tc>
          <w:tcPr>
            <w:tcW w:w="771" w:type="dxa"/>
            <w:vMerge w:val="continue"/>
            <w:vAlign w:val="center"/>
          </w:tcPr>
          <w:p>
            <w:pPr>
              <w:pStyle w:val="5"/>
              <w:spacing w:line="276" w:lineRule="auto"/>
              <w:jc w:val="center"/>
              <w:rPr>
                <w:rFonts w:hAnsi="宋体"/>
                <w:szCs w:val="21"/>
              </w:rPr>
            </w:pPr>
          </w:p>
        </w:tc>
        <w:tc>
          <w:tcPr>
            <w:tcW w:w="865" w:type="dxa"/>
            <w:vMerge w:val="continue"/>
            <w:vAlign w:val="center"/>
          </w:tcPr>
          <w:p>
            <w:pPr>
              <w:pStyle w:val="5"/>
              <w:spacing w:line="276" w:lineRule="auto"/>
              <w:jc w:val="center"/>
              <w:rPr>
                <w:rFonts w:hAnsi="宋体"/>
                <w:szCs w:val="21"/>
              </w:rPr>
            </w:pPr>
          </w:p>
        </w:tc>
        <w:tc>
          <w:tcPr>
            <w:tcW w:w="1290" w:type="dxa"/>
            <w:vMerge w:val="continue"/>
            <w:vAlign w:val="center"/>
          </w:tcPr>
          <w:p>
            <w:pPr>
              <w:spacing w:line="276" w:lineRule="auto"/>
              <w:rPr>
                <w:rFonts w:ascii="宋体" w:hAnsi="宋体"/>
                <w:sz w:val="21"/>
                <w:szCs w:val="21"/>
              </w:rPr>
            </w:pPr>
          </w:p>
        </w:tc>
        <w:tc>
          <w:tcPr>
            <w:tcW w:w="629" w:type="dxa"/>
            <w:vMerge w:val="continue"/>
            <w:vAlign w:val="center"/>
          </w:tcPr>
          <w:p>
            <w:pPr>
              <w:spacing w:line="276" w:lineRule="auto"/>
              <w:rPr>
                <w:rFonts w:ascii="宋体" w:hAnsi="宋体"/>
                <w:sz w:val="21"/>
                <w:szCs w:val="21"/>
              </w:rPr>
            </w:pPr>
          </w:p>
        </w:tc>
        <w:tc>
          <w:tcPr>
            <w:tcW w:w="886" w:type="dxa"/>
            <w:vMerge w:val="continue"/>
            <w:vAlign w:val="center"/>
          </w:tcPr>
          <w:p>
            <w:pPr>
              <w:spacing w:line="276" w:lineRule="auto"/>
              <w:rPr>
                <w:rFonts w:ascii="宋体" w:hAnsi="宋体"/>
                <w:sz w:val="21"/>
                <w:szCs w:val="21"/>
              </w:rPr>
            </w:pPr>
          </w:p>
        </w:tc>
        <w:tc>
          <w:tcPr>
            <w:tcW w:w="5147" w:type="dxa"/>
            <w:vAlign w:val="center"/>
          </w:tcPr>
          <w:p>
            <w:pPr>
              <w:spacing w:line="276" w:lineRule="auto"/>
              <w:rPr>
                <w:rFonts w:ascii="宋体" w:hAnsi="宋体"/>
                <w:sz w:val="21"/>
                <w:szCs w:val="21"/>
              </w:rPr>
            </w:pPr>
            <w:r>
              <w:rPr>
                <w:rFonts w:hint="eastAsia" w:ascii="宋体" w:hAnsi="宋体"/>
                <w:sz w:val="21"/>
                <w:szCs w:val="21"/>
              </w:rPr>
              <w:t xml:space="preserve">理解较准确，思路较清晰，得 3.0（不含）－4.0（含）分；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vAlign w:val="center"/>
          </w:tcPr>
          <w:p>
            <w:pPr>
              <w:pStyle w:val="5"/>
              <w:spacing w:line="276" w:lineRule="auto"/>
              <w:jc w:val="center"/>
              <w:rPr>
                <w:rFonts w:hAnsi="宋体"/>
                <w:szCs w:val="21"/>
              </w:rPr>
            </w:pPr>
          </w:p>
        </w:tc>
        <w:tc>
          <w:tcPr>
            <w:tcW w:w="771" w:type="dxa"/>
            <w:vMerge w:val="continue"/>
            <w:vAlign w:val="center"/>
          </w:tcPr>
          <w:p>
            <w:pPr>
              <w:pStyle w:val="5"/>
              <w:spacing w:line="276" w:lineRule="auto"/>
              <w:jc w:val="center"/>
              <w:rPr>
                <w:rFonts w:hAnsi="宋体"/>
                <w:szCs w:val="21"/>
              </w:rPr>
            </w:pPr>
          </w:p>
        </w:tc>
        <w:tc>
          <w:tcPr>
            <w:tcW w:w="865" w:type="dxa"/>
            <w:vMerge w:val="continue"/>
            <w:vAlign w:val="center"/>
          </w:tcPr>
          <w:p>
            <w:pPr>
              <w:pStyle w:val="5"/>
              <w:spacing w:line="276" w:lineRule="auto"/>
              <w:jc w:val="center"/>
              <w:rPr>
                <w:rFonts w:hAnsi="宋体"/>
                <w:szCs w:val="21"/>
              </w:rPr>
            </w:pPr>
          </w:p>
        </w:tc>
        <w:tc>
          <w:tcPr>
            <w:tcW w:w="1290" w:type="dxa"/>
            <w:vMerge w:val="continue"/>
            <w:vAlign w:val="center"/>
          </w:tcPr>
          <w:p>
            <w:pPr>
              <w:spacing w:line="276" w:lineRule="auto"/>
              <w:rPr>
                <w:rFonts w:ascii="宋体" w:hAnsi="宋体"/>
                <w:sz w:val="21"/>
                <w:szCs w:val="21"/>
              </w:rPr>
            </w:pPr>
          </w:p>
        </w:tc>
        <w:tc>
          <w:tcPr>
            <w:tcW w:w="629" w:type="dxa"/>
            <w:vMerge w:val="continue"/>
            <w:vAlign w:val="center"/>
          </w:tcPr>
          <w:p>
            <w:pPr>
              <w:spacing w:line="276" w:lineRule="auto"/>
              <w:rPr>
                <w:rFonts w:ascii="宋体" w:hAnsi="宋体"/>
                <w:sz w:val="21"/>
                <w:szCs w:val="21"/>
              </w:rPr>
            </w:pPr>
          </w:p>
        </w:tc>
        <w:tc>
          <w:tcPr>
            <w:tcW w:w="886" w:type="dxa"/>
            <w:vMerge w:val="continue"/>
            <w:vAlign w:val="center"/>
          </w:tcPr>
          <w:p>
            <w:pPr>
              <w:spacing w:line="276" w:lineRule="auto"/>
              <w:rPr>
                <w:rFonts w:ascii="宋体" w:hAnsi="宋体"/>
                <w:sz w:val="21"/>
                <w:szCs w:val="21"/>
              </w:rPr>
            </w:pPr>
          </w:p>
        </w:tc>
        <w:tc>
          <w:tcPr>
            <w:tcW w:w="5147" w:type="dxa"/>
            <w:vAlign w:val="center"/>
          </w:tcPr>
          <w:p>
            <w:pPr>
              <w:spacing w:line="276" w:lineRule="auto"/>
              <w:rPr>
                <w:rFonts w:ascii="宋体" w:hAnsi="宋体"/>
                <w:sz w:val="21"/>
                <w:szCs w:val="21"/>
              </w:rPr>
            </w:pPr>
            <w:r>
              <w:rPr>
                <w:rFonts w:hint="eastAsia" w:ascii="宋体" w:hAnsi="宋体"/>
                <w:sz w:val="21"/>
                <w:szCs w:val="21"/>
              </w:rPr>
              <w:t xml:space="preserve">理解准确，思路清晰，全面、合理，符合项目要求，得 4.0（不含）－5.0（含）分；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vAlign w:val="center"/>
          </w:tcPr>
          <w:p>
            <w:pPr>
              <w:pStyle w:val="5"/>
              <w:spacing w:line="276" w:lineRule="auto"/>
              <w:jc w:val="center"/>
              <w:rPr>
                <w:rFonts w:hAnsi="宋体"/>
                <w:szCs w:val="21"/>
              </w:rPr>
            </w:pPr>
          </w:p>
        </w:tc>
        <w:tc>
          <w:tcPr>
            <w:tcW w:w="771" w:type="dxa"/>
            <w:vMerge w:val="continue"/>
            <w:vAlign w:val="center"/>
          </w:tcPr>
          <w:p>
            <w:pPr>
              <w:pStyle w:val="5"/>
              <w:spacing w:line="276" w:lineRule="auto"/>
              <w:jc w:val="center"/>
              <w:rPr>
                <w:rFonts w:hAnsi="宋体"/>
                <w:szCs w:val="21"/>
              </w:rPr>
            </w:pPr>
          </w:p>
        </w:tc>
        <w:tc>
          <w:tcPr>
            <w:tcW w:w="865" w:type="dxa"/>
            <w:vMerge w:val="continue"/>
            <w:vAlign w:val="center"/>
          </w:tcPr>
          <w:p>
            <w:pPr>
              <w:pStyle w:val="5"/>
              <w:spacing w:line="276" w:lineRule="auto"/>
              <w:jc w:val="center"/>
              <w:rPr>
                <w:rFonts w:hAnsi="宋体"/>
                <w:szCs w:val="21"/>
              </w:rPr>
            </w:pPr>
          </w:p>
        </w:tc>
        <w:tc>
          <w:tcPr>
            <w:tcW w:w="1290" w:type="dxa"/>
            <w:vMerge w:val="continue"/>
            <w:vAlign w:val="center"/>
          </w:tcPr>
          <w:p>
            <w:pPr>
              <w:spacing w:line="276" w:lineRule="auto"/>
              <w:rPr>
                <w:rFonts w:ascii="宋体" w:hAnsi="宋体"/>
                <w:sz w:val="21"/>
                <w:szCs w:val="21"/>
              </w:rPr>
            </w:pPr>
          </w:p>
        </w:tc>
        <w:tc>
          <w:tcPr>
            <w:tcW w:w="629" w:type="dxa"/>
            <w:vMerge w:val="continue"/>
            <w:vAlign w:val="center"/>
          </w:tcPr>
          <w:p>
            <w:pPr>
              <w:spacing w:line="276" w:lineRule="auto"/>
              <w:rPr>
                <w:rFonts w:ascii="宋体" w:hAnsi="宋体"/>
                <w:sz w:val="21"/>
                <w:szCs w:val="21"/>
              </w:rPr>
            </w:pPr>
          </w:p>
        </w:tc>
        <w:tc>
          <w:tcPr>
            <w:tcW w:w="886" w:type="dxa"/>
            <w:vMerge w:val="restart"/>
            <w:vAlign w:val="center"/>
          </w:tcPr>
          <w:p>
            <w:pPr>
              <w:spacing w:line="276" w:lineRule="auto"/>
              <w:rPr>
                <w:rFonts w:hint="eastAsia" w:ascii="宋体" w:hAnsi="宋体"/>
                <w:sz w:val="21"/>
                <w:szCs w:val="21"/>
              </w:rPr>
            </w:pPr>
            <w:r>
              <w:rPr>
                <w:rFonts w:hint="eastAsia" w:ascii="宋体" w:hAnsi="宋体"/>
                <w:sz w:val="21"/>
                <w:szCs w:val="21"/>
              </w:rPr>
              <w:t>总体思路</w:t>
            </w:r>
          </w:p>
          <w:p>
            <w:pPr>
              <w:spacing w:line="276" w:lineRule="auto"/>
              <w:rPr>
                <w:rFonts w:ascii="宋体" w:hAnsi="宋体"/>
                <w:sz w:val="21"/>
                <w:szCs w:val="21"/>
              </w:rPr>
            </w:pPr>
            <w:r>
              <w:rPr>
                <w:rFonts w:hint="eastAsia" w:ascii="宋体" w:hAnsi="宋体"/>
                <w:sz w:val="21"/>
                <w:szCs w:val="21"/>
              </w:rPr>
              <w:t>（5分）</w:t>
            </w:r>
          </w:p>
        </w:tc>
        <w:tc>
          <w:tcPr>
            <w:tcW w:w="5147" w:type="dxa"/>
            <w:vAlign w:val="center"/>
          </w:tcPr>
          <w:p>
            <w:pPr>
              <w:spacing w:line="276" w:lineRule="auto"/>
              <w:rPr>
                <w:rFonts w:ascii="宋体" w:hAnsi="宋体"/>
                <w:sz w:val="21"/>
                <w:szCs w:val="21"/>
              </w:rPr>
            </w:pPr>
            <w:r>
              <w:rPr>
                <w:rFonts w:hint="eastAsia" w:ascii="宋体" w:hAnsi="宋体"/>
                <w:sz w:val="21"/>
                <w:szCs w:val="21"/>
              </w:rPr>
              <w:t xml:space="preserve">工作目标基本满足要求，工作思路与本项目的设计理念、思路基本吻合，可实施性一般，得 3.0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tcPr>
          <w:p>
            <w:pPr>
              <w:pStyle w:val="5"/>
              <w:spacing w:line="276" w:lineRule="auto"/>
              <w:jc w:val="center"/>
              <w:rPr>
                <w:rFonts w:hAnsi="宋体"/>
                <w:szCs w:val="21"/>
              </w:rPr>
            </w:pPr>
          </w:p>
        </w:tc>
        <w:tc>
          <w:tcPr>
            <w:tcW w:w="771" w:type="dxa"/>
            <w:vMerge w:val="continue"/>
          </w:tcPr>
          <w:p>
            <w:pPr>
              <w:pStyle w:val="5"/>
              <w:spacing w:line="276" w:lineRule="auto"/>
              <w:jc w:val="center"/>
              <w:rPr>
                <w:rFonts w:hAnsi="宋体"/>
                <w:szCs w:val="21"/>
              </w:rPr>
            </w:pPr>
          </w:p>
        </w:tc>
        <w:tc>
          <w:tcPr>
            <w:tcW w:w="865" w:type="dxa"/>
            <w:vMerge w:val="continue"/>
          </w:tcPr>
          <w:p>
            <w:pPr>
              <w:pStyle w:val="5"/>
              <w:spacing w:line="276" w:lineRule="auto"/>
              <w:jc w:val="center"/>
              <w:rPr>
                <w:rFonts w:hAnsi="宋体"/>
                <w:szCs w:val="21"/>
              </w:rPr>
            </w:pPr>
          </w:p>
        </w:tc>
        <w:tc>
          <w:tcPr>
            <w:tcW w:w="1290" w:type="dxa"/>
            <w:vMerge w:val="continue"/>
          </w:tcPr>
          <w:p>
            <w:pPr>
              <w:spacing w:line="276" w:lineRule="auto"/>
              <w:rPr>
                <w:rFonts w:ascii="宋体" w:hAnsi="宋体"/>
                <w:sz w:val="21"/>
                <w:szCs w:val="21"/>
              </w:rPr>
            </w:pPr>
          </w:p>
        </w:tc>
        <w:tc>
          <w:tcPr>
            <w:tcW w:w="629" w:type="dxa"/>
            <w:vMerge w:val="continue"/>
            <w:vAlign w:val="center"/>
          </w:tcPr>
          <w:p>
            <w:pPr>
              <w:spacing w:line="276" w:lineRule="auto"/>
              <w:rPr>
                <w:rFonts w:ascii="宋体" w:hAnsi="宋体"/>
                <w:sz w:val="21"/>
                <w:szCs w:val="21"/>
              </w:rPr>
            </w:pPr>
          </w:p>
        </w:tc>
        <w:tc>
          <w:tcPr>
            <w:tcW w:w="886" w:type="dxa"/>
            <w:vMerge w:val="continue"/>
            <w:vAlign w:val="center"/>
          </w:tcPr>
          <w:p>
            <w:pPr>
              <w:spacing w:line="276" w:lineRule="auto"/>
              <w:rPr>
                <w:rFonts w:ascii="宋体" w:hAnsi="宋体"/>
                <w:sz w:val="21"/>
                <w:szCs w:val="21"/>
              </w:rPr>
            </w:pPr>
          </w:p>
        </w:tc>
        <w:tc>
          <w:tcPr>
            <w:tcW w:w="5147" w:type="dxa"/>
            <w:vAlign w:val="center"/>
          </w:tcPr>
          <w:p>
            <w:pPr>
              <w:spacing w:line="276" w:lineRule="auto"/>
              <w:rPr>
                <w:rFonts w:ascii="宋体" w:hAnsi="宋体"/>
                <w:sz w:val="21"/>
                <w:szCs w:val="21"/>
              </w:rPr>
            </w:pPr>
            <w:r>
              <w:rPr>
                <w:rFonts w:hint="eastAsia" w:ascii="宋体" w:hAnsi="宋体"/>
                <w:sz w:val="21"/>
                <w:szCs w:val="21"/>
              </w:rPr>
              <w:t xml:space="preserve">工作目标较详细，工作思路与本项目的设计理念、思路吻合，可实施性较好，得 3.0（不含）－4.0（含）分；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tcPr>
          <w:p>
            <w:pPr>
              <w:pStyle w:val="5"/>
              <w:spacing w:line="276" w:lineRule="auto"/>
              <w:jc w:val="center"/>
              <w:rPr>
                <w:rFonts w:hAnsi="宋体"/>
                <w:szCs w:val="21"/>
              </w:rPr>
            </w:pPr>
          </w:p>
        </w:tc>
        <w:tc>
          <w:tcPr>
            <w:tcW w:w="771" w:type="dxa"/>
            <w:vMerge w:val="continue"/>
          </w:tcPr>
          <w:p>
            <w:pPr>
              <w:pStyle w:val="5"/>
              <w:spacing w:line="276" w:lineRule="auto"/>
              <w:jc w:val="center"/>
              <w:rPr>
                <w:rFonts w:hAnsi="宋体"/>
                <w:szCs w:val="21"/>
              </w:rPr>
            </w:pPr>
          </w:p>
        </w:tc>
        <w:tc>
          <w:tcPr>
            <w:tcW w:w="865" w:type="dxa"/>
            <w:vMerge w:val="continue"/>
          </w:tcPr>
          <w:p>
            <w:pPr>
              <w:pStyle w:val="5"/>
              <w:spacing w:line="276" w:lineRule="auto"/>
              <w:jc w:val="center"/>
              <w:rPr>
                <w:rFonts w:hAnsi="宋体"/>
                <w:szCs w:val="21"/>
              </w:rPr>
            </w:pPr>
          </w:p>
        </w:tc>
        <w:tc>
          <w:tcPr>
            <w:tcW w:w="1290" w:type="dxa"/>
            <w:vMerge w:val="continue"/>
          </w:tcPr>
          <w:p>
            <w:pPr>
              <w:spacing w:line="276" w:lineRule="auto"/>
              <w:rPr>
                <w:rFonts w:ascii="宋体" w:hAnsi="宋体"/>
                <w:sz w:val="21"/>
                <w:szCs w:val="21"/>
              </w:rPr>
            </w:pPr>
          </w:p>
        </w:tc>
        <w:tc>
          <w:tcPr>
            <w:tcW w:w="629" w:type="dxa"/>
            <w:vMerge w:val="continue"/>
            <w:vAlign w:val="center"/>
          </w:tcPr>
          <w:p>
            <w:pPr>
              <w:spacing w:line="276" w:lineRule="auto"/>
              <w:rPr>
                <w:rFonts w:ascii="宋体" w:hAnsi="宋体"/>
                <w:sz w:val="21"/>
                <w:szCs w:val="21"/>
              </w:rPr>
            </w:pPr>
          </w:p>
        </w:tc>
        <w:tc>
          <w:tcPr>
            <w:tcW w:w="886" w:type="dxa"/>
            <w:vMerge w:val="continue"/>
            <w:vAlign w:val="center"/>
          </w:tcPr>
          <w:p>
            <w:pPr>
              <w:spacing w:line="276" w:lineRule="auto"/>
              <w:rPr>
                <w:rFonts w:ascii="宋体" w:hAnsi="宋体"/>
                <w:sz w:val="21"/>
                <w:szCs w:val="21"/>
              </w:rPr>
            </w:pPr>
          </w:p>
        </w:tc>
        <w:tc>
          <w:tcPr>
            <w:tcW w:w="5147" w:type="dxa"/>
            <w:vAlign w:val="center"/>
          </w:tcPr>
          <w:p>
            <w:pPr>
              <w:spacing w:line="276" w:lineRule="auto"/>
              <w:rPr>
                <w:rFonts w:ascii="宋体" w:hAnsi="宋体"/>
                <w:sz w:val="21"/>
                <w:szCs w:val="21"/>
              </w:rPr>
            </w:pPr>
            <w:r>
              <w:rPr>
                <w:rFonts w:hint="eastAsia" w:ascii="宋体" w:hAnsi="宋体"/>
                <w:sz w:val="21"/>
                <w:szCs w:val="21"/>
              </w:rPr>
              <w:t xml:space="preserve">工作目标详细、准确，工作思路与本项目的设计理念、思路高度吻合，可实施性强，得 4.0（不含）－5.0（含）分；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vAlign w:val="center"/>
          </w:tcPr>
          <w:p>
            <w:pPr>
              <w:pStyle w:val="5"/>
              <w:spacing w:line="276" w:lineRule="auto"/>
              <w:jc w:val="center"/>
              <w:rPr>
                <w:rFonts w:hAnsi="宋体"/>
                <w:szCs w:val="21"/>
              </w:rPr>
            </w:pPr>
          </w:p>
        </w:tc>
        <w:tc>
          <w:tcPr>
            <w:tcW w:w="771" w:type="dxa"/>
            <w:vMerge w:val="continue"/>
          </w:tcPr>
          <w:p>
            <w:pPr>
              <w:pStyle w:val="5"/>
              <w:spacing w:line="276" w:lineRule="auto"/>
              <w:jc w:val="center"/>
              <w:rPr>
                <w:rFonts w:hint="eastAsia" w:hAnsi="宋体"/>
                <w:szCs w:val="21"/>
              </w:rPr>
            </w:pPr>
          </w:p>
        </w:tc>
        <w:tc>
          <w:tcPr>
            <w:tcW w:w="865" w:type="dxa"/>
            <w:vMerge w:val="continue"/>
            <w:vAlign w:val="center"/>
          </w:tcPr>
          <w:p>
            <w:pPr>
              <w:pStyle w:val="5"/>
              <w:spacing w:line="276" w:lineRule="auto"/>
              <w:jc w:val="center"/>
              <w:rPr>
                <w:rFonts w:hAnsi="宋体"/>
                <w:szCs w:val="21"/>
              </w:rPr>
            </w:pPr>
          </w:p>
        </w:tc>
        <w:tc>
          <w:tcPr>
            <w:tcW w:w="1290" w:type="dxa"/>
            <w:vMerge w:val="restart"/>
          </w:tcPr>
          <w:p>
            <w:pPr>
              <w:spacing w:line="276" w:lineRule="auto"/>
              <w:jc w:val="center"/>
              <w:rPr>
                <w:rFonts w:ascii="宋体" w:hAnsi="宋体"/>
                <w:sz w:val="21"/>
                <w:szCs w:val="21"/>
              </w:rPr>
            </w:pPr>
          </w:p>
          <w:p>
            <w:pPr>
              <w:spacing w:line="276" w:lineRule="auto"/>
              <w:jc w:val="center"/>
              <w:rPr>
                <w:rFonts w:ascii="宋体" w:hAnsi="宋体"/>
                <w:sz w:val="21"/>
                <w:szCs w:val="21"/>
              </w:rPr>
            </w:pPr>
          </w:p>
          <w:p>
            <w:pPr>
              <w:spacing w:line="276" w:lineRule="auto"/>
              <w:jc w:val="center"/>
              <w:rPr>
                <w:rFonts w:hint="eastAsia" w:ascii="宋体" w:hAnsi="宋体"/>
                <w:sz w:val="21"/>
                <w:szCs w:val="21"/>
              </w:rPr>
            </w:pPr>
            <w:r>
              <w:rPr>
                <w:rFonts w:hint="eastAsia" w:ascii="宋体" w:hAnsi="宋体"/>
                <w:sz w:val="21"/>
                <w:szCs w:val="21"/>
              </w:rPr>
              <w:t>各阶段工作主要内容和方法</w:t>
            </w:r>
          </w:p>
        </w:tc>
        <w:tc>
          <w:tcPr>
            <w:tcW w:w="629" w:type="dxa"/>
            <w:vMerge w:val="restart"/>
          </w:tcPr>
          <w:p>
            <w:pPr>
              <w:spacing w:line="276" w:lineRule="auto"/>
              <w:jc w:val="center"/>
              <w:rPr>
                <w:rFonts w:ascii="宋体" w:hAnsi="宋体"/>
                <w:sz w:val="21"/>
                <w:szCs w:val="21"/>
              </w:rPr>
            </w:pPr>
          </w:p>
          <w:p>
            <w:pPr>
              <w:spacing w:line="276" w:lineRule="auto"/>
              <w:jc w:val="center"/>
              <w:rPr>
                <w:rFonts w:ascii="宋体" w:hAnsi="宋体"/>
                <w:sz w:val="21"/>
                <w:szCs w:val="21"/>
              </w:rPr>
            </w:pPr>
          </w:p>
          <w:p>
            <w:pPr>
              <w:spacing w:line="276" w:lineRule="auto"/>
              <w:jc w:val="center"/>
              <w:rPr>
                <w:rFonts w:ascii="宋体" w:hAnsi="宋体"/>
                <w:sz w:val="21"/>
                <w:szCs w:val="21"/>
              </w:rPr>
            </w:pPr>
          </w:p>
          <w:p>
            <w:pPr>
              <w:spacing w:line="276" w:lineRule="auto"/>
              <w:jc w:val="center"/>
              <w:rPr>
                <w:rFonts w:ascii="宋体" w:hAnsi="宋体"/>
                <w:sz w:val="21"/>
                <w:szCs w:val="21"/>
              </w:rPr>
            </w:pPr>
            <w:r>
              <w:rPr>
                <w:rFonts w:hint="eastAsia" w:ascii="宋体" w:hAnsi="宋体"/>
                <w:sz w:val="21"/>
                <w:szCs w:val="21"/>
              </w:rPr>
              <w:t>10分</w:t>
            </w:r>
          </w:p>
        </w:tc>
        <w:tc>
          <w:tcPr>
            <w:tcW w:w="6033" w:type="dxa"/>
            <w:gridSpan w:val="2"/>
            <w:vAlign w:val="center"/>
          </w:tcPr>
          <w:p>
            <w:pPr>
              <w:spacing w:line="276" w:lineRule="auto"/>
              <w:rPr>
                <w:rFonts w:ascii="宋体" w:hAnsi="宋体"/>
                <w:sz w:val="21"/>
                <w:szCs w:val="21"/>
              </w:rPr>
            </w:pPr>
            <w:r>
              <w:rPr>
                <w:rFonts w:hint="eastAsia" w:ascii="宋体" w:hAnsi="宋体"/>
                <w:sz w:val="21"/>
                <w:szCs w:val="21"/>
              </w:rPr>
              <w:t xml:space="preserve">内容基本齐全，方法基本合理，可实施性一般，得 6.0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tcPr>
          <w:p>
            <w:pPr>
              <w:pStyle w:val="5"/>
              <w:spacing w:line="276" w:lineRule="auto"/>
              <w:jc w:val="center"/>
              <w:rPr>
                <w:rFonts w:hAnsi="宋体"/>
                <w:szCs w:val="21"/>
              </w:rPr>
            </w:pPr>
          </w:p>
        </w:tc>
        <w:tc>
          <w:tcPr>
            <w:tcW w:w="771" w:type="dxa"/>
            <w:vMerge w:val="continue"/>
          </w:tcPr>
          <w:p>
            <w:pPr>
              <w:pStyle w:val="5"/>
              <w:spacing w:line="276" w:lineRule="auto"/>
              <w:jc w:val="center"/>
              <w:rPr>
                <w:rFonts w:hAnsi="宋体"/>
                <w:szCs w:val="21"/>
              </w:rPr>
            </w:pPr>
          </w:p>
        </w:tc>
        <w:tc>
          <w:tcPr>
            <w:tcW w:w="865" w:type="dxa"/>
            <w:vMerge w:val="continue"/>
          </w:tcPr>
          <w:p>
            <w:pPr>
              <w:pStyle w:val="5"/>
              <w:spacing w:line="276" w:lineRule="auto"/>
              <w:jc w:val="center"/>
              <w:rPr>
                <w:rFonts w:hAnsi="宋体"/>
                <w:szCs w:val="21"/>
              </w:rPr>
            </w:pPr>
          </w:p>
        </w:tc>
        <w:tc>
          <w:tcPr>
            <w:tcW w:w="1290" w:type="dxa"/>
            <w:vMerge w:val="continue"/>
          </w:tcPr>
          <w:p>
            <w:pPr>
              <w:spacing w:line="276" w:lineRule="auto"/>
              <w:jc w:val="center"/>
              <w:rPr>
                <w:rFonts w:ascii="宋体" w:hAnsi="宋体"/>
                <w:sz w:val="21"/>
                <w:szCs w:val="21"/>
              </w:rPr>
            </w:pPr>
          </w:p>
        </w:tc>
        <w:tc>
          <w:tcPr>
            <w:tcW w:w="629" w:type="dxa"/>
            <w:vMerge w:val="continue"/>
          </w:tcPr>
          <w:p>
            <w:pPr>
              <w:spacing w:line="276" w:lineRule="auto"/>
              <w:jc w:val="center"/>
              <w:rPr>
                <w:rFonts w:ascii="宋体" w:hAnsi="宋体"/>
                <w:sz w:val="21"/>
                <w:szCs w:val="21"/>
              </w:rPr>
            </w:pPr>
          </w:p>
        </w:tc>
        <w:tc>
          <w:tcPr>
            <w:tcW w:w="6033" w:type="dxa"/>
            <w:gridSpan w:val="2"/>
            <w:vAlign w:val="center"/>
          </w:tcPr>
          <w:p>
            <w:pPr>
              <w:spacing w:line="276" w:lineRule="auto"/>
              <w:rPr>
                <w:rFonts w:ascii="宋体" w:hAnsi="宋体"/>
                <w:sz w:val="21"/>
                <w:szCs w:val="21"/>
              </w:rPr>
            </w:pPr>
            <w:r>
              <w:rPr>
                <w:rFonts w:hint="eastAsia" w:ascii="宋体" w:hAnsi="宋体"/>
                <w:sz w:val="21"/>
                <w:szCs w:val="21"/>
              </w:rPr>
              <w:t>内容较齐全，方法较合理，可实施性较好，得 6.0（不含）</w:t>
            </w:r>
          </w:p>
          <w:p>
            <w:pPr>
              <w:spacing w:line="276" w:lineRule="auto"/>
              <w:rPr>
                <w:rFonts w:ascii="宋体" w:hAnsi="宋体"/>
                <w:sz w:val="21"/>
                <w:szCs w:val="21"/>
              </w:rPr>
            </w:pPr>
            <w:r>
              <w:rPr>
                <w:rFonts w:hint="eastAsia" w:ascii="宋体" w:hAnsi="宋体"/>
                <w:sz w:val="21"/>
                <w:szCs w:val="21"/>
              </w:rPr>
              <w:t xml:space="preserve">－8.0（含）分；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tcPr>
          <w:p>
            <w:pPr>
              <w:pStyle w:val="5"/>
              <w:spacing w:line="276" w:lineRule="auto"/>
              <w:jc w:val="center"/>
              <w:rPr>
                <w:rFonts w:hAnsi="宋体"/>
                <w:szCs w:val="21"/>
              </w:rPr>
            </w:pPr>
          </w:p>
        </w:tc>
        <w:tc>
          <w:tcPr>
            <w:tcW w:w="771" w:type="dxa"/>
            <w:vMerge w:val="continue"/>
          </w:tcPr>
          <w:p>
            <w:pPr>
              <w:pStyle w:val="5"/>
              <w:spacing w:line="276" w:lineRule="auto"/>
              <w:jc w:val="center"/>
              <w:rPr>
                <w:rFonts w:hAnsi="宋体"/>
                <w:szCs w:val="21"/>
              </w:rPr>
            </w:pPr>
          </w:p>
        </w:tc>
        <w:tc>
          <w:tcPr>
            <w:tcW w:w="865" w:type="dxa"/>
            <w:vMerge w:val="continue"/>
          </w:tcPr>
          <w:p>
            <w:pPr>
              <w:pStyle w:val="5"/>
              <w:spacing w:line="276" w:lineRule="auto"/>
              <w:jc w:val="center"/>
              <w:rPr>
                <w:rFonts w:hAnsi="宋体"/>
                <w:szCs w:val="21"/>
              </w:rPr>
            </w:pPr>
          </w:p>
        </w:tc>
        <w:tc>
          <w:tcPr>
            <w:tcW w:w="1290" w:type="dxa"/>
            <w:vMerge w:val="continue"/>
          </w:tcPr>
          <w:p>
            <w:pPr>
              <w:spacing w:line="276" w:lineRule="auto"/>
              <w:jc w:val="center"/>
              <w:rPr>
                <w:rFonts w:ascii="宋体" w:hAnsi="宋体"/>
                <w:sz w:val="21"/>
                <w:szCs w:val="21"/>
              </w:rPr>
            </w:pPr>
          </w:p>
        </w:tc>
        <w:tc>
          <w:tcPr>
            <w:tcW w:w="629" w:type="dxa"/>
            <w:vMerge w:val="continue"/>
          </w:tcPr>
          <w:p>
            <w:pPr>
              <w:spacing w:line="276" w:lineRule="auto"/>
              <w:jc w:val="center"/>
              <w:rPr>
                <w:rFonts w:ascii="宋体" w:hAnsi="宋体"/>
                <w:sz w:val="21"/>
                <w:szCs w:val="21"/>
              </w:rPr>
            </w:pPr>
          </w:p>
        </w:tc>
        <w:tc>
          <w:tcPr>
            <w:tcW w:w="6033" w:type="dxa"/>
            <w:gridSpan w:val="2"/>
            <w:vAlign w:val="center"/>
          </w:tcPr>
          <w:p>
            <w:pPr>
              <w:spacing w:line="276" w:lineRule="auto"/>
              <w:rPr>
                <w:rFonts w:ascii="宋体" w:hAnsi="宋体"/>
                <w:sz w:val="21"/>
                <w:szCs w:val="21"/>
              </w:rPr>
            </w:pPr>
            <w:r>
              <w:rPr>
                <w:rFonts w:hint="eastAsia" w:ascii="宋体" w:hAnsi="宋体"/>
                <w:sz w:val="21"/>
                <w:szCs w:val="21"/>
              </w:rPr>
              <w:t>内容齐全，方法合理、正确，可实施性强，得 8.0（不含）</w:t>
            </w:r>
          </w:p>
          <w:p>
            <w:pPr>
              <w:spacing w:line="276" w:lineRule="auto"/>
              <w:rPr>
                <w:rFonts w:ascii="宋体" w:hAnsi="宋体"/>
                <w:sz w:val="21"/>
                <w:szCs w:val="21"/>
              </w:rPr>
            </w:pPr>
            <w:r>
              <w:rPr>
                <w:rFonts w:hint="eastAsia" w:ascii="宋体" w:hAnsi="宋体"/>
                <w:sz w:val="21"/>
                <w:szCs w:val="21"/>
              </w:rPr>
              <w:t xml:space="preserve">－10.0（含）分；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vAlign w:val="center"/>
          </w:tcPr>
          <w:p>
            <w:pPr>
              <w:pStyle w:val="5"/>
              <w:spacing w:line="276" w:lineRule="auto"/>
              <w:jc w:val="center"/>
              <w:rPr>
                <w:rFonts w:hAnsi="宋体"/>
                <w:szCs w:val="21"/>
              </w:rPr>
            </w:pPr>
          </w:p>
        </w:tc>
        <w:tc>
          <w:tcPr>
            <w:tcW w:w="771" w:type="dxa"/>
            <w:vMerge w:val="continue"/>
          </w:tcPr>
          <w:p>
            <w:pPr>
              <w:pStyle w:val="5"/>
              <w:spacing w:line="276" w:lineRule="auto"/>
              <w:jc w:val="center"/>
              <w:rPr>
                <w:rFonts w:hint="eastAsia" w:hAnsi="宋体"/>
                <w:szCs w:val="21"/>
              </w:rPr>
            </w:pPr>
          </w:p>
        </w:tc>
        <w:tc>
          <w:tcPr>
            <w:tcW w:w="865" w:type="dxa"/>
            <w:vMerge w:val="continue"/>
            <w:vAlign w:val="center"/>
          </w:tcPr>
          <w:p>
            <w:pPr>
              <w:pStyle w:val="5"/>
              <w:spacing w:line="276" w:lineRule="auto"/>
              <w:jc w:val="center"/>
              <w:rPr>
                <w:rFonts w:hAnsi="宋体"/>
                <w:szCs w:val="21"/>
              </w:rPr>
            </w:pPr>
          </w:p>
        </w:tc>
        <w:tc>
          <w:tcPr>
            <w:tcW w:w="1290" w:type="dxa"/>
            <w:vMerge w:val="restart"/>
          </w:tcPr>
          <w:p>
            <w:pPr>
              <w:spacing w:line="276" w:lineRule="auto"/>
              <w:jc w:val="center"/>
              <w:rPr>
                <w:rFonts w:ascii="宋体" w:hAnsi="宋体"/>
                <w:sz w:val="21"/>
                <w:szCs w:val="21"/>
              </w:rPr>
            </w:pPr>
          </w:p>
          <w:p>
            <w:pPr>
              <w:spacing w:line="276" w:lineRule="auto"/>
              <w:jc w:val="center"/>
              <w:rPr>
                <w:rFonts w:hint="eastAsia" w:ascii="宋体" w:hAnsi="宋体"/>
                <w:sz w:val="21"/>
                <w:szCs w:val="21"/>
              </w:rPr>
            </w:pPr>
            <w:r>
              <w:rPr>
                <w:rFonts w:hint="eastAsia" w:ascii="宋体" w:hAnsi="宋体"/>
                <w:sz w:val="21"/>
                <w:szCs w:val="21"/>
              </w:rPr>
              <w:t>工作的 重点、难点以及相应对策分析</w:t>
            </w:r>
          </w:p>
        </w:tc>
        <w:tc>
          <w:tcPr>
            <w:tcW w:w="629" w:type="dxa"/>
            <w:vMerge w:val="restart"/>
          </w:tcPr>
          <w:p>
            <w:pPr>
              <w:spacing w:line="276" w:lineRule="auto"/>
              <w:jc w:val="center"/>
              <w:rPr>
                <w:rFonts w:ascii="宋体" w:hAnsi="宋体"/>
                <w:sz w:val="21"/>
                <w:szCs w:val="21"/>
              </w:rPr>
            </w:pPr>
          </w:p>
          <w:p>
            <w:pPr>
              <w:spacing w:line="276" w:lineRule="auto"/>
              <w:jc w:val="center"/>
              <w:rPr>
                <w:rFonts w:ascii="宋体" w:hAnsi="宋体"/>
                <w:sz w:val="21"/>
                <w:szCs w:val="21"/>
              </w:rPr>
            </w:pPr>
          </w:p>
          <w:p>
            <w:pPr>
              <w:spacing w:line="276" w:lineRule="auto"/>
              <w:jc w:val="center"/>
              <w:rPr>
                <w:rFonts w:ascii="宋体" w:hAnsi="宋体"/>
                <w:sz w:val="21"/>
                <w:szCs w:val="21"/>
              </w:rPr>
            </w:pPr>
          </w:p>
          <w:p>
            <w:pPr>
              <w:spacing w:line="276" w:lineRule="auto"/>
              <w:jc w:val="center"/>
              <w:rPr>
                <w:rFonts w:ascii="宋体" w:hAnsi="宋体"/>
                <w:sz w:val="21"/>
                <w:szCs w:val="21"/>
              </w:rPr>
            </w:pPr>
            <w:r>
              <w:rPr>
                <w:rFonts w:hint="eastAsia" w:ascii="宋体" w:hAnsi="宋体"/>
                <w:sz w:val="21"/>
                <w:szCs w:val="21"/>
              </w:rPr>
              <w:t>10分</w:t>
            </w:r>
          </w:p>
        </w:tc>
        <w:tc>
          <w:tcPr>
            <w:tcW w:w="6033" w:type="dxa"/>
            <w:gridSpan w:val="2"/>
            <w:vAlign w:val="center"/>
          </w:tcPr>
          <w:p>
            <w:pPr>
              <w:spacing w:line="276" w:lineRule="auto"/>
              <w:rPr>
                <w:rFonts w:ascii="宋体" w:hAnsi="宋体"/>
                <w:sz w:val="21"/>
                <w:szCs w:val="21"/>
              </w:rPr>
            </w:pPr>
            <w:r>
              <w:rPr>
                <w:rFonts w:hint="eastAsia" w:ascii="宋体" w:hAnsi="宋体"/>
                <w:sz w:val="21"/>
                <w:szCs w:val="21"/>
              </w:rPr>
              <w:t>分析一般，对难点、重点把握一般；处理措施基本合理，</w:t>
            </w:r>
          </w:p>
          <w:p>
            <w:pPr>
              <w:spacing w:line="276" w:lineRule="auto"/>
              <w:rPr>
                <w:rFonts w:ascii="宋体" w:hAnsi="宋体"/>
                <w:sz w:val="21"/>
                <w:szCs w:val="21"/>
              </w:rPr>
            </w:pPr>
            <w:r>
              <w:rPr>
                <w:rFonts w:hint="eastAsia" w:ascii="宋体" w:hAnsi="宋体"/>
                <w:sz w:val="21"/>
                <w:szCs w:val="21"/>
              </w:rPr>
              <w:t xml:space="preserve">基本可行，得 6.0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tcPr>
          <w:p>
            <w:pPr>
              <w:pStyle w:val="5"/>
              <w:spacing w:line="276" w:lineRule="auto"/>
              <w:jc w:val="center"/>
              <w:rPr>
                <w:rFonts w:hAnsi="宋体"/>
                <w:szCs w:val="21"/>
              </w:rPr>
            </w:pPr>
          </w:p>
        </w:tc>
        <w:tc>
          <w:tcPr>
            <w:tcW w:w="771" w:type="dxa"/>
            <w:vMerge w:val="continue"/>
          </w:tcPr>
          <w:p>
            <w:pPr>
              <w:pStyle w:val="5"/>
              <w:spacing w:line="276" w:lineRule="auto"/>
              <w:jc w:val="center"/>
              <w:rPr>
                <w:rFonts w:hAnsi="宋体"/>
                <w:szCs w:val="21"/>
              </w:rPr>
            </w:pPr>
          </w:p>
        </w:tc>
        <w:tc>
          <w:tcPr>
            <w:tcW w:w="865" w:type="dxa"/>
            <w:vMerge w:val="continue"/>
          </w:tcPr>
          <w:p>
            <w:pPr>
              <w:pStyle w:val="5"/>
              <w:spacing w:line="276" w:lineRule="auto"/>
              <w:jc w:val="center"/>
              <w:rPr>
                <w:rFonts w:hAnsi="宋体"/>
                <w:szCs w:val="21"/>
              </w:rPr>
            </w:pPr>
          </w:p>
        </w:tc>
        <w:tc>
          <w:tcPr>
            <w:tcW w:w="1290" w:type="dxa"/>
            <w:vMerge w:val="continue"/>
          </w:tcPr>
          <w:p>
            <w:pPr>
              <w:spacing w:line="276" w:lineRule="auto"/>
              <w:jc w:val="center"/>
              <w:rPr>
                <w:rFonts w:ascii="宋体" w:hAnsi="宋体"/>
                <w:sz w:val="21"/>
                <w:szCs w:val="21"/>
              </w:rPr>
            </w:pPr>
          </w:p>
        </w:tc>
        <w:tc>
          <w:tcPr>
            <w:tcW w:w="629" w:type="dxa"/>
            <w:vMerge w:val="continue"/>
          </w:tcPr>
          <w:p>
            <w:pPr>
              <w:spacing w:line="276" w:lineRule="auto"/>
              <w:jc w:val="center"/>
              <w:rPr>
                <w:rFonts w:ascii="宋体" w:hAnsi="宋体"/>
                <w:sz w:val="21"/>
                <w:szCs w:val="21"/>
              </w:rPr>
            </w:pPr>
          </w:p>
        </w:tc>
        <w:tc>
          <w:tcPr>
            <w:tcW w:w="6033" w:type="dxa"/>
            <w:gridSpan w:val="2"/>
            <w:vAlign w:val="center"/>
          </w:tcPr>
          <w:p>
            <w:pPr>
              <w:spacing w:line="276" w:lineRule="auto"/>
              <w:rPr>
                <w:rFonts w:ascii="宋体" w:hAnsi="宋体"/>
                <w:sz w:val="21"/>
                <w:szCs w:val="21"/>
              </w:rPr>
            </w:pPr>
            <w:r>
              <w:rPr>
                <w:rFonts w:hint="eastAsia" w:ascii="宋体" w:hAnsi="宋体"/>
                <w:sz w:val="21"/>
                <w:szCs w:val="21"/>
              </w:rPr>
              <w:t xml:space="preserve">分析较透彻，对难点、重点把握较准确；处理措施合理， 可行，得 6.0（不含）－8.0（含）分；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tcPr>
          <w:p>
            <w:pPr>
              <w:pStyle w:val="5"/>
              <w:spacing w:line="276" w:lineRule="auto"/>
              <w:jc w:val="center"/>
              <w:rPr>
                <w:rFonts w:hAnsi="宋体"/>
                <w:szCs w:val="21"/>
              </w:rPr>
            </w:pPr>
          </w:p>
        </w:tc>
        <w:tc>
          <w:tcPr>
            <w:tcW w:w="771" w:type="dxa"/>
            <w:vMerge w:val="continue"/>
          </w:tcPr>
          <w:p>
            <w:pPr>
              <w:pStyle w:val="5"/>
              <w:spacing w:line="276" w:lineRule="auto"/>
              <w:jc w:val="center"/>
              <w:rPr>
                <w:rFonts w:hAnsi="宋体"/>
                <w:szCs w:val="21"/>
              </w:rPr>
            </w:pPr>
          </w:p>
        </w:tc>
        <w:tc>
          <w:tcPr>
            <w:tcW w:w="865" w:type="dxa"/>
            <w:vMerge w:val="continue"/>
          </w:tcPr>
          <w:p>
            <w:pPr>
              <w:pStyle w:val="5"/>
              <w:spacing w:line="276" w:lineRule="auto"/>
              <w:jc w:val="center"/>
              <w:rPr>
                <w:rFonts w:hAnsi="宋体"/>
                <w:szCs w:val="21"/>
              </w:rPr>
            </w:pPr>
          </w:p>
        </w:tc>
        <w:tc>
          <w:tcPr>
            <w:tcW w:w="1290" w:type="dxa"/>
            <w:vMerge w:val="continue"/>
          </w:tcPr>
          <w:p>
            <w:pPr>
              <w:spacing w:line="276" w:lineRule="auto"/>
              <w:jc w:val="center"/>
              <w:rPr>
                <w:rFonts w:ascii="宋体" w:hAnsi="宋体"/>
                <w:sz w:val="21"/>
                <w:szCs w:val="21"/>
              </w:rPr>
            </w:pPr>
          </w:p>
        </w:tc>
        <w:tc>
          <w:tcPr>
            <w:tcW w:w="629" w:type="dxa"/>
            <w:vMerge w:val="continue"/>
          </w:tcPr>
          <w:p>
            <w:pPr>
              <w:spacing w:line="276" w:lineRule="auto"/>
              <w:jc w:val="center"/>
              <w:rPr>
                <w:rFonts w:ascii="宋体" w:hAnsi="宋体"/>
                <w:sz w:val="21"/>
                <w:szCs w:val="21"/>
              </w:rPr>
            </w:pPr>
          </w:p>
        </w:tc>
        <w:tc>
          <w:tcPr>
            <w:tcW w:w="6033" w:type="dxa"/>
            <w:gridSpan w:val="2"/>
            <w:vAlign w:val="center"/>
          </w:tcPr>
          <w:p>
            <w:pPr>
              <w:spacing w:line="276" w:lineRule="auto"/>
              <w:rPr>
                <w:rFonts w:ascii="宋体" w:hAnsi="宋体"/>
                <w:sz w:val="21"/>
                <w:szCs w:val="21"/>
              </w:rPr>
            </w:pPr>
            <w:r>
              <w:rPr>
                <w:rFonts w:hint="eastAsia" w:ascii="宋体" w:hAnsi="宋体"/>
                <w:sz w:val="21"/>
                <w:szCs w:val="21"/>
              </w:rPr>
              <w:t xml:space="preserve">分析透彻，对难点、重点把握准确；处理措施科学合理， 有效可行，得 8.0（不含）－10.0（含）分；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vAlign w:val="center"/>
          </w:tcPr>
          <w:p>
            <w:pPr>
              <w:pStyle w:val="5"/>
              <w:spacing w:line="276" w:lineRule="auto"/>
              <w:jc w:val="center"/>
              <w:rPr>
                <w:rFonts w:hAnsi="宋体"/>
                <w:szCs w:val="21"/>
              </w:rPr>
            </w:pPr>
          </w:p>
        </w:tc>
        <w:tc>
          <w:tcPr>
            <w:tcW w:w="771" w:type="dxa"/>
            <w:vMerge w:val="continue"/>
          </w:tcPr>
          <w:p>
            <w:pPr>
              <w:pStyle w:val="5"/>
              <w:spacing w:line="276" w:lineRule="auto"/>
              <w:jc w:val="center"/>
              <w:rPr>
                <w:rFonts w:hint="eastAsia" w:hAnsi="宋体"/>
                <w:szCs w:val="21"/>
              </w:rPr>
            </w:pPr>
          </w:p>
        </w:tc>
        <w:tc>
          <w:tcPr>
            <w:tcW w:w="865" w:type="dxa"/>
            <w:vMerge w:val="continue"/>
            <w:vAlign w:val="center"/>
          </w:tcPr>
          <w:p>
            <w:pPr>
              <w:pStyle w:val="5"/>
              <w:spacing w:line="276" w:lineRule="auto"/>
              <w:jc w:val="center"/>
              <w:rPr>
                <w:rFonts w:hAnsi="宋体"/>
                <w:szCs w:val="21"/>
              </w:rPr>
            </w:pPr>
          </w:p>
        </w:tc>
        <w:tc>
          <w:tcPr>
            <w:tcW w:w="1290" w:type="dxa"/>
            <w:vMerge w:val="restart"/>
          </w:tcPr>
          <w:p>
            <w:pPr>
              <w:spacing w:line="276" w:lineRule="auto"/>
              <w:jc w:val="center"/>
              <w:rPr>
                <w:rFonts w:ascii="宋体" w:hAnsi="宋体"/>
                <w:sz w:val="21"/>
                <w:szCs w:val="21"/>
              </w:rPr>
            </w:pPr>
          </w:p>
          <w:p>
            <w:pPr>
              <w:spacing w:line="276" w:lineRule="auto"/>
              <w:jc w:val="center"/>
              <w:rPr>
                <w:rFonts w:ascii="宋体" w:hAnsi="宋体"/>
                <w:sz w:val="21"/>
                <w:szCs w:val="21"/>
              </w:rPr>
            </w:pPr>
          </w:p>
          <w:p>
            <w:pPr>
              <w:spacing w:line="276" w:lineRule="auto"/>
              <w:jc w:val="center"/>
              <w:rPr>
                <w:rFonts w:hint="eastAsia" w:ascii="宋体" w:hAnsi="宋体"/>
                <w:sz w:val="21"/>
                <w:szCs w:val="21"/>
              </w:rPr>
            </w:pPr>
            <w:r>
              <w:rPr>
                <w:rFonts w:hint="eastAsia" w:ascii="宋体" w:hAnsi="宋体"/>
                <w:sz w:val="21"/>
                <w:szCs w:val="21"/>
              </w:rPr>
              <w:t>工作计划安排</w:t>
            </w:r>
          </w:p>
        </w:tc>
        <w:tc>
          <w:tcPr>
            <w:tcW w:w="629" w:type="dxa"/>
            <w:vMerge w:val="restart"/>
          </w:tcPr>
          <w:p>
            <w:pPr>
              <w:spacing w:line="276" w:lineRule="auto"/>
              <w:jc w:val="center"/>
              <w:rPr>
                <w:rFonts w:ascii="宋体" w:hAnsi="宋体"/>
                <w:sz w:val="21"/>
                <w:szCs w:val="21"/>
              </w:rPr>
            </w:pPr>
          </w:p>
          <w:p>
            <w:pPr>
              <w:spacing w:line="276" w:lineRule="auto"/>
              <w:jc w:val="center"/>
              <w:rPr>
                <w:rFonts w:ascii="宋体" w:hAnsi="宋体"/>
                <w:sz w:val="21"/>
                <w:szCs w:val="21"/>
              </w:rPr>
            </w:pPr>
          </w:p>
          <w:p>
            <w:pPr>
              <w:spacing w:line="276" w:lineRule="auto"/>
              <w:jc w:val="center"/>
              <w:rPr>
                <w:rFonts w:ascii="宋体" w:hAnsi="宋体"/>
                <w:sz w:val="21"/>
                <w:szCs w:val="21"/>
              </w:rPr>
            </w:pPr>
            <w:r>
              <w:rPr>
                <w:rFonts w:hint="eastAsia" w:ascii="宋体" w:hAnsi="宋体"/>
                <w:sz w:val="21"/>
                <w:szCs w:val="21"/>
              </w:rPr>
              <w:t>5分</w:t>
            </w:r>
          </w:p>
        </w:tc>
        <w:tc>
          <w:tcPr>
            <w:tcW w:w="6033" w:type="dxa"/>
            <w:gridSpan w:val="2"/>
            <w:vAlign w:val="center"/>
          </w:tcPr>
          <w:p>
            <w:pPr>
              <w:spacing w:line="276" w:lineRule="auto"/>
              <w:rPr>
                <w:rFonts w:ascii="宋体" w:hAnsi="宋体"/>
                <w:sz w:val="21"/>
                <w:szCs w:val="21"/>
              </w:rPr>
            </w:pPr>
            <w:r>
              <w:rPr>
                <w:rFonts w:hint="eastAsia" w:ascii="宋体" w:hAnsi="宋体"/>
                <w:sz w:val="21"/>
                <w:szCs w:val="21"/>
              </w:rPr>
              <w:t xml:space="preserve">工作计划基本合理，得 3.0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tcPr>
          <w:p>
            <w:pPr>
              <w:pStyle w:val="5"/>
              <w:spacing w:line="276" w:lineRule="auto"/>
              <w:jc w:val="center"/>
              <w:rPr>
                <w:rFonts w:hAnsi="宋体"/>
                <w:szCs w:val="21"/>
              </w:rPr>
            </w:pPr>
          </w:p>
        </w:tc>
        <w:tc>
          <w:tcPr>
            <w:tcW w:w="771" w:type="dxa"/>
            <w:vMerge w:val="continue"/>
          </w:tcPr>
          <w:p>
            <w:pPr>
              <w:pStyle w:val="5"/>
              <w:spacing w:line="276" w:lineRule="auto"/>
              <w:jc w:val="center"/>
              <w:rPr>
                <w:rFonts w:hAnsi="宋体"/>
                <w:szCs w:val="21"/>
              </w:rPr>
            </w:pPr>
          </w:p>
        </w:tc>
        <w:tc>
          <w:tcPr>
            <w:tcW w:w="865" w:type="dxa"/>
            <w:vMerge w:val="continue"/>
          </w:tcPr>
          <w:p>
            <w:pPr>
              <w:pStyle w:val="5"/>
              <w:spacing w:line="276" w:lineRule="auto"/>
              <w:jc w:val="center"/>
              <w:rPr>
                <w:rFonts w:hAnsi="宋体"/>
                <w:szCs w:val="21"/>
              </w:rPr>
            </w:pPr>
          </w:p>
        </w:tc>
        <w:tc>
          <w:tcPr>
            <w:tcW w:w="1290" w:type="dxa"/>
            <w:vMerge w:val="continue"/>
          </w:tcPr>
          <w:p>
            <w:pPr>
              <w:spacing w:line="276" w:lineRule="auto"/>
              <w:jc w:val="center"/>
              <w:rPr>
                <w:rFonts w:ascii="宋体" w:hAnsi="宋体"/>
                <w:sz w:val="21"/>
                <w:szCs w:val="21"/>
              </w:rPr>
            </w:pPr>
          </w:p>
        </w:tc>
        <w:tc>
          <w:tcPr>
            <w:tcW w:w="629" w:type="dxa"/>
            <w:vMerge w:val="continue"/>
          </w:tcPr>
          <w:p>
            <w:pPr>
              <w:spacing w:line="276" w:lineRule="auto"/>
              <w:jc w:val="center"/>
              <w:rPr>
                <w:rFonts w:ascii="宋体" w:hAnsi="宋体"/>
                <w:sz w:val="21"/>
                <w:szCs w:val="21"/>
              </w:rPr>
            </w:pPr>
          </w:p>
        </w:tc>
        <w:tc>
          <w:tcPr>
            <w:tcW w:w="6033" w:type="dxa"/>
            <w:gridSpan w:val="2"/>
            <w:vAlign w:val="center"/>
          </w:tcPr>
          <w:p>
            <w:pPr>
              <w:spacing w:line="276" w:lineRule="auto"/>
              <w:rPr>
                <w:rFonts w:ascii="宋体" w:hAnsi="宋体"/>
                <w:sz w:val="21"/>
                <w:szCs w:val="21"/>
              </w:rPr>
            </w:pPr>
            <w:r>
              <w:rPr>
                <w:rFonts w:hint="eastAsia" w:ascii="宋体" w:hAnsi="宋体"/>
                <w:sz w:val="21"/>
                <w:szCs w:val="21"/>
              </w:rPr>
              <w:t xml:space="preserve">工作计划合理，得 3.0（不含）－4.0（含）分；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tcPr>
          <w:p>
            <w:pPr>
              <w:pStyle w:val="5"/>
              <w:spacing w:line="276" w:lineRule="auto"/>
              <w:jc w:val="center"/>
              <w:rPr>
                <w:rFonts w:hAnsi="宋体"/>
                <w:szCs w:val="21"/>
              </w:rPr>
            </w:pPr>
          </w:p>
        </w:tc>
        <w:tc>
          <w:tcPr>
            <w:tcW w:w="771" w:type="dxa"/>
            <w:vMerge w:val="continue"/>
          </w:tcPr>
          <w:p>
            <w:pPr>
              <w:pStyle w:val="5"/>
              <w:spacing w:line="276" w:lineRule="auto"/>
              <w:jc w:val="center"/>
              <w:rPr>
                <w:rFonts w:hAnsi="宋体"/>
                <w:szCs w:val="21"/>
              </w:rPr>
            </w:pPr>
          </w:p>
        </w:tc>
        <w:tc>
          <w:tcPr>
            <w:tcW w:w="865" w:type="dxa"/>
            <w:vMerge w:val="continue"/>
          </w:tcPr>
          <w:p>
            <w:pPr>
              <w:pStyle w:val="5"/>
              <w:spacing w:line="276" w:lineRule="auto"/>
              <w:jc w:val="center"/>
              <w:rPr>
                <w:rFonts w:hAnsi="宋体"/>
                <w:szCs w:val="21"/>
              </w:rPr>
            </w:pPr>
          </w:p>
        </w:tc>
        <w:tc>
          <w:tcPr>
            <w:tcW w:w="1290" w:type="dxa"/>
            <w:vMerge w:val="continue"/>
          </w:tcPr>
          <w:p>
            <w:pPr>
              <w:spacing w:line="276" w:lineRule="auto"/>
              <w:jc w:val="center"/>
              <w:rPr>
                <w:rFonts w:ascii="宋体" w:hAnsi="宋体"/>
                <w:sz w:val="21"/>
                <w:szCs w:val="21"/>
              </w:rPr>
            </w:pPr>
          </w:p>
        </w:tc>
        <w:tc>
          <w:tcPr>
            <w:tcW w:w="629" w:type="dxa"/>
            <w:vMerge w:val="continue"/>
          </w:tcPr>
          <w:p>
            <w:pPr>
              <w:spacing w:line="276" w:lineRule="auto"/>
              <w:jc w:val="center"/>
              <w:rPr>
                <w:rFonts w:ascii="宋体" w:hAnsi="宋体"/>
                <w:sz w:val="21"/>
                <w:szCs w:val="21"/>
              </w:rPr>
            </w:pPr>
          </w:p>
        </w:tc>
        <w:tc>
          <w:tcPr>
            <w:tcW w:w="6033" w:type="dxa"/>
            <w:gridSpan w:val="2"/>
            <w:vAlign w:val="center"/>
          </w:tcPr>
          <w:p>
            <w:pPr>
              <w:spacing w:line="276" w:lineRule="auto"/>
              <w:rPr>
                <w:rFonts w:ascii="宋体" w:hAnsi="宋体"/>
                <w:sz w:val="21"/>
                <w:szCs w:val="21"/>
              </w:rPr>
            </w:pPr>
            <w:r>
              <w:rPr>
                <w:rFonts w:hint="eastAsia" w:ascii="宋体" w:hAnsi="宋体"/>
                <w:sz w:val="21"/>
                <w:szCs w:val="21"/>
              </w:rPr>
              <w:t xml:space="preserve">工作计划科学，安排周密，得 4.0（不含）－5.0（含）分；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vAlign w:val="center"/>
          </w:tcPr>
          <w:p>
            <w:pPr>
              <w:pStyle w:val="5"/>
              <w:spacing w:line="276" w:lineRule="auto"/>
              <w:jc w:val="center"/>
              <w:rPr>
                <w:rFonts w:hAnsi="宋体"/>
                <w:szCs w:val="21"/>
              </w:rPr>
            </w:pPr>
          </w:p>
        </w:tc>
        <w:tc>
          <w:tcPr>
            <w:tcW w:w="771" w:type="dxa"/>
            <w:vMerge w:val="continue"/>
            <w:vAlign w:val="center"/>
          </w:tcPr>
          <w:p>
            <w:pPr>
              <w:pStyle w:val="5"/>
              <w:spacing w:line="276" w:lineRule="auto"/>
              <w:jc w:val="center"/>
              <w:rPr>
                <w:rFonts w:hint="eastAsia" w:hAnsi="宋体"/>
                <w:szCs w:val="21"/>
              </w:rPr>
            </w:pPr>
          </w:p>
        </w:tc>
        <w:tc>
          <w:tcPr>
            <w:tcW w:w="865" w:type="dxa"/>
            <w:vMerge w:val="continue"/>
            <w:vAlign w:val="center"/>
          </w:tcPr>
          <w:p>
            <w:pPr>
              <w:pStyle w:val="5"/>
              <w:spacing w:line="276" w:lineRule="auto"/>
              <w:jc w:val="center"/>
              <w:rPr>
                <w:rFonts w:hAnsi="宋体"/>
                <w:szCs w:val="21"/>
              </w:rPr>
            </w:pPr>
          </w:p>
        </w:tc>
        <w:tc>
          <w:tcPr>
            <w:tcW w:w="1290" w:type="dxa"/>
            <w:vMerge w:val="restart"/>
          </w:tcPr>
          <w:p>
            <w:pPr>
              <w:spacing w:line="276" w:lineRule="auto"/>
              <w:jc w:val="center"/>
              <w:rPr>
                <w:rFonts w:ascii="宋体" w:hAnsi="宋体"/>
                <w:sz w:val="21"/>
                <w:szCs w:val="21"/>
              </w:rPr>
            </w:pPr>
          </w:p>
          <w:p>
            <w:pPr>
              <w:spacing w:line="276" w:lineRule="auto"/>
              <w:jc w:val="center"/>
              <w:rPr>
                <w:rFonts w:hint="eastAsia" w:ascii="宋体" w:hAnsi="宋体"/>
                <w:sz w:val="21"/>
                <w:szCs w:val="21"/>
              </w:rPr>
            </w:pPr>
            <w:r>
              <w:rPr>
                <w:rFonts w:hint="eastAsia" w:ascii="宋体" w:hAnsi="宋体"/>
                <w:sz w:val="21"/>
                <w:szCs w:val="21"/>
              </w:rPr>
              <w:t>工作质量管理措施</w:t>
            </w:r>
          </w:p>
        </w:tc>
        <w:tc>
          <w:tcPr>
            <w:tcW w:w="629" w:type="dxa"/>
            <w:vMerge w:val="restart"/>
          </w:tcPr>
          <w:p>
            <w:pPr>
              <w:spacing w:line="276" w:lineRule="auto"/>
              <w:jc w:val="center"/>
              <w:rPr>
                <w:rFonts w:ascii="宋体" w:hAnsi="宋体"/>
                <w:sz w:val="21"/>
                <w:szCs w:val="21"/>
              </w:rPr>
            </w:pPr>
          </w:p>
          <w:p>
            <w:pPr>
              <w:spacing w:line="276" w:lineRule="auto"/>
              <w:jc w:val="center"/>
              <w:rPr>
                <w:rFonts w:ascii="宋体" w:hAnsi="宋体"/>
                <w:sz w:val="21"/>
                <w:szCs w:val="21"/>
              </w:rPr>
            </w:pPr>
          </w:p>
          <w:p>
            <w:pPr>
              <w:spacing w:line="276" w:lineRule="auto"/>
              <w:jc w:val="center"/>
              <w:rPr>
                <w:rFonts w:ascii="宋体" w:hAnsi="宋体"/>
                <w:sz w:val="21"/>
                <w:szCs w:val="21"/>
              </w:rPr>
            </w:pPr>
            <w:r>
              <w:rPr>
                <w:rFonts w:hint="eastAsia" w:ascii="宋体" w:hAnsi="宋体"/>
                <w:sz w:val="21"/>
                <w:szCs w:val="21"/>
              </w:rPr>
              <w:t>5分</w:t>
            </w:r>
          </w:p>
        </w:tc>
        <w:tc>
          <w:tcPr>
            <w:tcW w:w="6033" w:type="dxa"/>
            <w:gridSpan w:val="2"/>
            <w:vAlign w:val="center"/>
          </w:tcPr>
          <w:p>
            <w:pPr>
              <w:spacing w:line="276" w:lineRule="auto"/>
              <w:rPr>
                <w:rFonts w:ascii="宋体" w:hAnsi="宋体"/>
                <w:sz w:val="21"/>
                <w:szCs w:val="21"/>
              </w:rPr>
            </w:pPr>
            <w:r>
              <w:rPr>
                <w:rFonts w:hint="eastAsia" w:ascii="宋体" w:hAnsi="宋体"/>
                <w:sz w:val="21"/>
                <w:szCs w:val="21"/>
              </w:rPr>
              <w:t xml:space="preserve">措施基本全面，可实施性一般，得 3.0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tcPr>
          <w:p>
            <w:pPr>
              <w:pStyle w:val="5"/>
              <w:spacing w:line="276" w:lineRule="auto"/>
              <w:jc w:val="center"/>
              <w:rPr>
                <w:rFonts w:hAnsi="宋体"/>
                <w:szCs w:val="21"/>
              </w:rPr>
            </w:pPr>
          </w:p>
        </w:tc>
        <w:tc>
          <w:tcPr>
            <w:tcW w:w="771" w:type="dxa"/>
            <w:vMerge w:val="continue"/>
          </w:tcPr>
          <w:p>
            <w:pPr>
              <w:pStyle w:val="5"/>
              <w:spacing w:line="276" w:lineRule="auto"/>
              <w:rPr>
                <w:rFonts w:hAnsi="宋体"/>
                <w:szCs w:val="21"/>
              </w:rPr>
            </w:pPr>
          </w:p>
        </w:tc>
        <w:tc>
          <w:tcPr>
            <w:tcW w:w="865" w:type="dxa"/>
            <w:vMerge w:val="continue"/>
          </w:tcPr>
          <w:p>
            <w:pPr>
              <w:pStyle w:val="5"/>
              <w:spacing w:line="276" w:lineRule="auto"/>
              <w:rPr>
                <w:rFonts w:hAnsi="宋体"/>
                <w:szCs w:val="21"/>
              </w:rPr>
            </w:pPr>
          </w:p>
        </w:tc>
        <w:tc>
          <w:tcPr>
            <w:tcW w:w="1290" w:type="dxa"/>
            <w:vMerge w:val="continue"/>
          </w:tcPr>
          <w:p>
            <w:pPr>
              <w:spacing w:line="276" w:lineRule="auto"/>
              <w:rPr>
                <w:rFonts w:ascii="宋体" w:hAnsi="宋体"/>
                <w:sz w:val="21"/>
                <w:szCs w:val="21"/>
              </w:rPr>
            </w:pPr>
          </w:p>
        </w:tc>
        <w:tc>
          <w:tcPr>
            <w:tcW w:w="629" w:type="dxa"/>
            <w:vMerge w:val="continue"/>
          </w:tcPr>
          <w:p>
            <w:pPr>
              <w:spacing w:line="276" w:lineRule="auto"/>
              <w:rPr>
                <w:rFonts w:ascii="宋体" w:hAnsi="宋体"/>
                <w:sz w:val="21"/>
                <w:szCs w:val="21"/>
              </w:rPr>
            </w:pPr>
          </w:p>
        </w:tc>
        <w:tc>
          <w:tcPr>
            <w:tcW w:w="6033" w:type="dxa"/>
            <w:gridSpan w:val="2"/>
            <w:vAlign w:val="center"/>
          </w:tcPr>
          <w:p>
            <w:pPr>
              <w:spacing w:line="276" w:lineRule="auto"/>
              <w:rPr>
                <w:rFonts w:ascii="宋体" w:hAnsi="宋体"/>
                <w:sz w:val="21"/>
                <w:szCs w:val="21"/>
              </w:rPr>
            </w:pPr>
            <w:r>
              <w:rPr>
                <w:rFonts w:hint="eastAsia" w:ascii="宋体" w:hAnsi="宋体"/>
                <w:sz w:val="21"/>
                <w:szCs w:val="21"/>
              </w:rPr>
              <w:t xml:space="preserve">措施全面，可实施性较好，得 3.0（不含）－4.0（含）分；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tcPr>
          <w:p>
            <w:pPr>
              <w:pStyle w:val="5"/>
              <w:spacing w:line="276" w:lineRule="auto"/>
              <w:jc w:val="center"/>
              <w:rPr>
                <w:rFonts w:hAnsi="宋体"/>
                <w:szCs w:val="21"/>
              </w:rPr>
            </w:pPr>
          </w:p>
        </w:tc>
        <w:tc>
          <w:tcPr>
            <w:tcW w:w="771" w:type="dxa"/>
            <w:vMerge w:val="continue"/>
          </w:tcPr>
          <w:p>
            <w:pPr>
              <w:pStyle w:val="5"/>
              <w:spacing w:line="276" w:lineRule="auto"/>
              <w:rPr>
                <w:rFonts w:hAnsi="宋体"/>
                <w:szCs w:val="21"/>
              </w:rPr>
            </w:pPr>
          </w:p>
        </w:tc>
        <w:tc>
          <w:tcPr>
            <w:tcW w:w="865" w:type="dxa"/>
            <w:vMerge w:val="continue"/>
          </w:tcPr>
          <w:p>
            <w:pPr>
              <w:pStyle w:val="5"/>
              <w:spacing w:line="276" w:lineRule="auto"/>
              <w:rPr>
                <w:rFonts w:hAnsi="宋体"/>
                <w:szCs w:val="21"/>
              </w:rPr>
            </w:pPr>
          </w:p>
        </w:tc>
        <w:tc>
          <w:tcPr>
            <w:tcW w:w="1290" w:type="dxa"/>
            <w:vMerge w:val="continue"/>
            <w:tcBorders>
              <w:bottom w:val="single" w:color="auto" w:sz="4" w:space="0"/>
            </w:tcBorders>
          </w:tcPr>
          <w:p>
            <w:pPr>
              <w:spacing w:line="276" w:lineRule="auto"/>
              <w:rPr>
                <w:rFonts w:ascii="宋体" w:hAnsi="宋体"/>
                <w:sz w:val="21"/>
                <w:szCs w:val="21"/>
              </w:rPr>
            </w:pPr>
          </w:p>
        </w:tc>
        <w:tc>
          <w:tcPr>
            <w:tcW w:w="629" w:type="dxa"/>
            <w:vMerge w:val="continue"/>
            <w:tcBorders>
              <w:bottom w:val="single" w:color="auto" w:sz="4" w:space="0"/>
            </w:tcBorders>
          </w:tcPr>
          <w:p>
            <w:pPr>
              <w:spacing w:line="276" w:lineRule="auto"/>
              <w:rPr>
                <w:rFonts w:ascii="宋体" w:hAnsi="宋体"/>
                <w:sz w:val="21"/>
                <w:szCs w:val="21"/>
              </w:rPr>
            </w:pPr>
          </w:p>
        </w:tc>
        <w:tc>
          <w:tcPr>
            <w:tcW w:w="6033" w:type="dxa"/>
            <w:gridSpan w:val="2"/>
            <w:tcBorders>
              <w:bottom w:val="single" w:color="auto" w:sz="4" w:space="0"/>
            </w:tcBorders>
            <w:vAlign w:val="center"/>
          </w:tcPr>
          <w:p>
            <w:pPr>
              <w:spacing w:line="276" w:lineRule="auto"/>
              <w:rPr>
                <w:rFonts w:ascii="宋体" w:hAnsi="宋体"/>
                <w:sz w:val="21"/>
                <w:szCs w:val="21"/>
              </w:rPr>
            </w:pPr>
            <w:r>
              <w:rPr>
                <w:rFonts w:hint="eastAsia" w:ascii="宋体" w:hAnsi="宋体"/>
                <w:sz w:val="21"/>
                <w:szCs w:val="21"/>
              </w:rPr>
              <w:t xml:space="preserve">措施具体全面可靠，可实施性强，得 4.0（不含）－5.0（含）分；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restart"/>
            <w:tcBorders>
              <w:top w:val="nil"/>
            </w:tcBorders>
            <w:vAlign w:val="center"/>
          </w:tcPr>
          <w:p>
            <w:pPr>
              <w:pStyle w:val="5"/>
              <w:spacing w:line="276" w:lineRule="auto"/>
              <w:jc w:val="center"/>
              <w:rPr>
                <w:rFonts w:hAnsi="宋体"/>
                <w:szCs w:val="21"/>
              </w:rPr>
            </w:pPr>
            <w:r>
              <w:rPr>
                <w:rFonts w:hint="eastAsia" w:hAnsi="宋体"/>
                <w:szCs w:val="21"/>
              </w:rPr>
              <w:t>2.2.4（2）</w:t>
            </w:r>
          </w:p>
        </w:tc>
        <w:tc>
          <w:tcPr>
            <w:tcW w:w="771" w:type="dxa"/>
            <w:vMerge w:val="restart"/>
            <w:tcBorders>
              <w:top w:val="nil"/>
            </w:tcBorders>
            <w:vAlign w:val="center"/>
          </w:tcPr>
          <w:p>
            <w:pPr>
              <w:pStyle w:val="5"/>
              <w:spacing w:line="276" w:lineRule="auto"/>
              <w:jc w:val="center"/>
              <w:rPr>
                <w:rFonts w:hint="eastAsia" w:hAnsi="宋体"/>
                <w:szCs w:val="21"/>
              </w:rPr>
            </w:pPr>
            <w:r>
              <w:rPr>
                <w:rFonts w:hint="eastAsia" w:hAnsi="宋体"/>
                <w:szCs w:val="21"/>
              </w:rPr>
              <w:t>主要人员</w:t>
            </w:r>
          </w:p>
        </w:tc>
        <w:tc>
          <w:tcPr>
            <w:tcW w:w="865" w:type="dxa"/>
            <w:vMerge w:val="restart"/>
            <w:tcBorders>
              <w:top w:val="nil"/>
            </w:tcBorders>
            <w:vAlign w:val="center"/>
          </w:tcPr>
          <w:p>
            <w:pPr>
              <w:pStyle w:val="5"/>
              <w:spacing w:line="276" w:lineRule="auto"/>
              <w:jc w:val="center"/>
              <w:rPr>
                <w:rFonts w:hAnsi="宋体"/>
                <w:szCs w:val="21"/>
              </w:rPr>
            </w:pPr>
            <w:r>
              <w:rPr>
                <w:rFonts w:hint="eastAsia" w:hAnsi="宋体"/>
                <w:szCs w:val="21"/>
              </w:rPr>
              <w:t>2</w:t>
            </w:r>
            <w:r>
              <w:rPr>
                <w:rFonts w:hAnsi="宋体"/>
                <w:szCs w:val="21"/>
              </w:rPr>
              <w:t>5</w:t>
            </w:r>
            <w:r>
              <w:rPr>
                <w:rFonts w:hint="eastAsia" w:hAnsi="宋体"/>
                <w:szCs w:val="21"/>
              </w:rPr>
              <w:t>分</w:t>
            </w:r>
          </w:p>
        </w:tc>
        <w:tc>
          <w:tcPr>
            <w:tcW w:w="1290" w:type="dxa"/>
            <w:vMerge w:val="restart"/>
            <w:vAlign w:val="center"/>
          </w:tcPr>
          <w:p>
            <w:pPr>
              <w:pStyle w:val="5"/>
              <w:spacing w:line="276" w:lineRule="auto"/>
              <w:jc w:val="center"/>
              <w:rPr>
                <w:rFonts w:hAnsi="宋体"/>
                <w:szCs w:val="21"/>
              </w:rPr>
            </w:pPr>
            <w:r>
              <w:rPr>
                <w:rStyle w:val="11"/>
                <w:rFonts w:hint="eastAsia"/>
              </w:rPr>
              <w:t>项目</w:t>
            </w:r>
            <w:r>
              <w:rPr>
                <w:rStyle w:val="11"/>
              </w:rPr>
              <w:t>负责人任职资格与业绩</w:t>
            </w:r>
          </w:p>
        </w:tc>
        <w:tc>
          <w:tcPr>
            <w:tcW w:w="629" w:type="dxa"/>
            <w:vMerge w:val="restart"/>
            <w:vAlign w:val="center"/>
          </w:tcPr>
          <w:p>
            <w:pPr>
              <w:pStyle w:val="5"/>
              <w:spacing w:line="276" w:lineRule="auto"/>
              <w:jc w:val="center"/>
              <w:rPr>
                <w:rFonts w:hAnsi="宋体"/>
                <w:szCs w:val="21"/>
              </w:rPr>
            </w:pPr>
            <w:r>
              <w:rPr>
                <w:rFonts w:hAnsi="宋体"/>
                <w:szCs w:val="21"/>
              </w:rPr>
              <w:t>25</w:t>
            </w:r>
            <w:r>
              <w:rPr>
                <w:rFonts w:hint="eastAsia" w:hAnsi="宋体"/>
                <w:szCs w:val="21"/>
              </w:rPr>
              <w:t>分</w:t>
            </w:r>
          </w:p>
        </w:tc>
        <w:tc>
          <w:tcPr>
            <w:tcW w:w="6033" w:type="dxa"/>
            <w:gridSpan w:val="2"/>
            <w:tcBorders>
              <w:bottom w:val="single" w:color="auto" w:sz="4" w:space="0"/>
            </w:tcBorders>
            <w:vAlign w:val="center"/>
          </w:tcPr>
          <w:p>
            <w:pPr>
              <w:spacing w:line="276" w:lineRule="auto"/>
              <w:jc w:val="left"/>
              <w:rPr>
                <w:rFonts w:hint="eastAsia" w:ascii="宋体" w:hAnsi="宋体"/>
                <w:kern w:val="2"/>
                <w:sz w:val="21"/>
                <w:szCs w:val="21"/>
              </w:rPr>
            </w:pPr>
            <w:r>
              <w:rPr>
                <w:rFonts w:hint="eastAsia" w:ascii="宋体" w:hAnsi="宋体"/>
                <w:b/>
                <w:kern w:val="2"/>
                <w:sz w:val="21"/>
                <w:szCs w:val="21"/>
              </w:rPr>
              <w:t xml:space="preserve">满足资格审查条件要求（主要人员最低要求），得 </w:t>
            </w:r>
            <w:r>
              <w:rPr>
                <w:rFonts w:ascii="宋体" w:hAnsi="宋体"/>
                <w:b/>
                <w:kern w:val="2"/>
                <w:sz w:val="21"/>
                <w:szCs w:val="21"/>
              </w:rPr>
              <w:t>15</w:t>
            </w:r>
            <w:r>
              <w:rPr>
                <w:rFonts w:hint="eastAsia" w:ascii="宋体" w:hAnsi="宋体"/>
                <w:b/>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tcBorders>
              <w:top w:val="nil"/>
            </w:tcBorders>
            <w:vAlign w:val="center"/>
          </w:tcPr>
          <w:p>
            <w:pPr>
              <w:pStyle w:val="5"/>
              <w:spacing w:line="276" w:lineRule="auto"/>
              <w:jc w:val="center"/>
              <w:rPr>
                <w:rFonts w:hint="eastAsia" w:hAnsi="宋体"/>
                <w:szCs w:val="21"/>
              </w:rPr>
            </w:pPr>
          </w:p>
        </w:tc>
        <w:tc>
          <w:tcPr>
            <w:tcW w:w="771" w:type="dxa"/>
            <w:vMerge w:val="continue"/>
            <w:tcBorders>
              <w:top w:val="nil"/>
            </w:tcBorders>
            <w:vAlign w:val="center"/>
          </w:tcPr>
          <w:p>
            <w:pPr>
              <w:pStyle w:val="5"/>
              <w:spacing w:line="276" w:lineRule="auto"/>
              <w:jc w:val="center"/>
              <w:rPr>
                <w:rFonts w:hint="eastAsia" w:hAnsi="宋体"/>
                <w:szCs w:val="21"/>
              </w:rPr>
            </w:pPr>
          </w:p>
        </w:tc>
        <w:tc>
          <w:tcPr>
            <w:tcW w:w="865" w:type="dxa"/>
            <w:vMerge w:val="continue"/>
            <w:tcBorders>
              <w:top w:val="nil"/>
            </w:tcBorders>
            <w:vAlign w:val="center"/>
          </w:tcPr>
          <w:p>
            <w:pPr>
              <w:pStyle w:val="5"/>
              <w:spacing w:line="276" w:lineRule="auto"/>
              <w:jc w:val="center"/>
              <w:rPr>
                <w:rFonts w:hint="eastAsia" w:hAnsi="宋体"/>
                <w:szCs w:val="21"/>
              </w:rPr>
            </w:pPr>
          </w:p>
        </w:tc>
        <w:tc>
          <w:tcPr>
            <w:tcW w:w="1290" w:type="dxa"/>
            <w:vMerge w:val="continue"/>
            <w:vAlign w:val="center"/>
          </w:tcPr>
          <w:p>
            <w:pPr>
              <w:pStyle w:val="5"/>
              <w:spacing w:line="276" w:lineRule="auto"/>
              <w:jc w:val="center"/>
              <w:rPr>
                <w:rStyle w:val="11"/>
                <w:rFonts w:hint="eastAsia"/>
              </w:rPr>
            </w:pPr>
          </w:p>
        </w:tc>
        <w:tc>
          <w:tcPr>
            <w:tcW w:w="629" w:type="dxa"/>
            <w:vMerge w:val="continue"/>
            <w:vAlign w:val="center"/>
          </w:tcPr>
          <w:p>
            <w:pPr>
              <w:pStyle w:val="5"/>
              <w:spacing w:line="276" w:lineRule="auto"/>
              <w:jc w:val="center"/>
              <w:rPr>
                <w:rFonts w:hint="eastAsia" w:hAnsi="宋体"/>
                <w:szCs w:val="21"/>
              </w:rPr>
            </w:pPr>
          </w:p>
        </w:tc>
        <w:tc>
          <w:tcPr>
            <w:tcW w:w="6033" w:type="dxa"/>
            <w:gridSpan w:val="2"/>
            <w:tcBorders>
              <w:bottom w:val="single" w:color="auto" w:sz="4" w:space="0"/>
            </w:tcBorders>
            <w:vAlign w:val="center"/>
          </w:tcPr>
          <w:p>
            <w:pPr>
              <w:spacing w:line="276" w:lineRule="auto"/>
              <w:jc w:val="left"/>
              <w:rPr>
                <w:rFonts w:hint="eastAsia" w:ascii="宋体" w:hAnsi="宋体"/>
                <w:b/>
                <w:kern w:val="2"/>
                <w:sz w:val="21"/>
                <w:szCs w:val="21"/>
              </w:rPr>
            </w:pPr>
            <w:r>
              <w:rPr>
                <w:rFonts w:hint="eastAsia" w:ascii="宋体" w:hAnsi="宋体"/>
                <w:b/>
                <w:kern w:val="2"/>
                <w:sz w:val="21"/>
                <w:szCs w:val="21"/>
              </w:rPr>
              <w:t>正高级工程师加</w:t>
            </w:r>
            <w:r>
              <w:rPr>
                <w:rFonts w:ascii="宋体" w:hAnsi="宋体"/>
                <w:b/>
                <w:kern w:val="2"/>
                <w:sz w:val="21"/>
                <w:szCs w:val="21"/>
              </w:rPr>
              <w:t>2</w:t>
            </w:r>
            <w:r>
              <w:rPr>
                <w:rFonts w:hint="eastAsia" w:ascii="宋体" w:hAnsi="宋体"/>
                <w:b/>
                <w:kern w:val="2"/>
                <w:sz w:val="21"/>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tcBorders>
              <w:top w:val="nil"/>
            </w:tcBorders>
            <w:vAlign w:val="center"/>
          </w:tcPr>
          <w:p>
            <w:pPr>
              <w:pStyle w:val="5"/>
              <w:spacing w:line="276" w:lineRule="auto"/>
              <w:jc w:val="center"/>
              <w:rPr>
                <w:rFonts w:hint="eastAsia" w:hAnsi="宋体"/>
                <w:szCs w:val="21"/>
              </w:rPr>
            </w:pPr>
          </w:p>
        </w:tc>
        <w:tc>
          <w:tcPr>
            <w:tcW w:w="771" w:type="dxa"/>
            <w:vMerge w:val="continue"/>
            <w:tcBorders>
              <w:top w:val="nil"/>
            </w:tcBorders>
            <w:vAlign w:val="center"/>
          </w:tcPr>
          <w:p>
            <w:pPr>
              <w:pStyle w:val="5"/>
              <w:spacing w:line="276" w:lineRule="auto"/>
              <w:jc w:val="center"/>
              <w:rPr>
                <w:rFonts w:hint="eastAsia" w:hAnsi="宋体"/>
                <w:szCs w:val="21"/>
              </w:rPr>
            </w:pPr>
          </w:p>
        </w:tc>
        <w:tc>
          <w:tcPr>
            <w:tcW w:w="865" w:type="dxa"/>
            <w:vMerge w:val="continue"/>
            <w:tcBorders>
              <w:top w:val="nil"/>
            </w:tcBorders>
            <w:vAlign w:val="center"/>
          </w:tcPr>
          <w:p>
            <w:pPr>
              <w:pStyle w:val="5"/>
              <w:spacing w:line="276" w:lineRule="auto"/>
              <w:jc w:val="center"/>
              <w:rPr>
                <w:rFonts w:hint="eastAsia" w:hAnsi="宋体"/>
                <w:szCs w:val="21"/>
              </w:rPr>
            </w:pPr>
          </w:p>
        </w:tc>
        <w:tc>
          <w:tcPr>
            <w:tcW w:w="1290" w:type="dxa"/>
            <w:vMerge w:val="continue"/>
            <w:vAlign w:val="center"/>
          </w:tcPr>
          <w:p>
            <w:pPr>
              <w:pStyle w:val="5"/>
              <w:spacing w:line="276" w:lineRule="auto"/>
              <w:jc w:val="center"/>
              <w:rPr>
                <w:rStyle w:val="11"/>
                <w:rFonts w:hint="eastAsia"/>
              </w:rPr>
            </w:pPr>
          </w:p>
        </w:tc>
        <w:tc>
          <w:tcPr>
            <w:tcW w:w="629" w:type="dxa"/>
            <w:vMerge w:val="continue"/>
            <w:vAlign w:val="center"/>
          </w:tcPr>
          <w:p>
            <w:pPr>
              <w:pStyle w:val="5"/>
              <w:spacing w:line="276" w:lineRule="auto"/>
              <w:jc w:val="center"/>
              <w:rPr>
                <w:rFonts w:hint="eastAsia" w:hAnsi="宋体"/>
                <w:szCs w:val="21"/>
              </w:rPr>
            </w:pPr>
          </w:p>
        </w:tc>
        <w:tc>
          <w:tcPr>
            <w:tcW w:w="6033" w:type="dxa"/>
            <w:gridSpan w:val="2"/>
            <w:tcBorders>
              <w:bottom w:val="single" w:color="auto" w:sz="4" w:space="0"/>
            </w:tcBorders>
            <w:vAlign w:val="center"/>
          </w:tcPr>
          <w:p>
            <w:pPr>
              <w:spacing w:line="276" w:lineRule="auto"/>
              <w:jc w:val="left"/>
              <w:rPr>
                <w:rFonts w:hint="eastAsia" w:ascii="宋体" w:hAnsi="宋体"/>
                <w:b/>
                <w:kern w:val="2"/>
                <w:sz w:val="21"/>
                <w:szCs w:val="21"/>
              </w:rPr>
            </w:pPr>
            <w:r>
              <w:rPr>
                <w:rFonts w:hint="eastAsia" w:ascii="宋体" w:hAnsi="宋体"/>
                <w:b/>
                <w:kern w:val="2"/>
                <w:sz w:val="21"/>
                <w:szCs w:val="21"/>
              </w:rPr>
              <w:t>每增加 1 条段满足资格审查条件要求的业绩加 4分，最多加 8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tcBorders>
              <w:top w:val="nil"/>
            </w:tcBorders>
            <w:vAlign w:val="center"/>
          </w:tcPr>
          <w:p>
            <w:pPr>
              <w:pStyle w:val="5"/>
              <w:spacing w:line="276" w:lineRule="auto"/>
              <w:jc w:val="center"/>
              <w:rPr>
                <w:rFonts w:hAnsi="宋体"/>
                <w:szCs w:val="21"/>
              </w:rPr>
            </w:pPr>
            <w:r>
              <w:rPr>
                <w:rFonts w:hint="eastAsia" w:hAnsi="宋体"/>
                <w:szCs w:val="21"/>
              </w:rPr>
              <w:t>2.2.4（3）</w:t>
            </w:r>
          </w:p>
        </w:tc>
        <w:tc>
          <w:tcPr>
            <w:tcW w:w="771" w:type="dxa"/>
            <w:tcBorders>
              <w:top w:val="nil"/>
            </w:tcBorders>
            <w:vAlign w:val="center"/>
          </w:tcPr>
          <w:p>
            <w:pPr>
              <w:pStyle w:val="5"/>
              <w:spacing w:line="276" w:lineRule="auto"/>
              <w:jc w:val="center"/>
              <w:rPr>
                <w:rFonts w:hint="eastAsia" w:hAnsi="宋体"/>
                <w:szCs w:val="21"/>
              </w:rPr>
            </w:pPr>
            <w:r>
              <w:rPr>
                <w:rFonts w:hint="eastAsia" w:hAnsi="宋体"/>
                <w:szCs w:val="21"/>
              </w:rPr>
              <w:t>评标价</w:t>
            </w:r>
          </w:p>
        </w:tc>
        <w:tc>
          <w:tcPr>
            <w:tcW w:w="865" w:type="dxa"/>
            <w:tcBorders>
              <w:top w:val="nil"/>
              <w:bottom w:val="single" w:color="auto" w:sz="4" w:space="0"/>
            </w:tcBorders>
            <w:vAlign w:val="center"/>
          </w:tcPr>
          <w:p>
            <w:pPr>
              <w:pStyle w:val="5"/>
              <w:spacing w:line="276" w:lineRule="auto"/>
              <w:jc w:val="center"/>
              <w:rPr>
                <w:rFonts w:hAnsi="宋体"/>
                <w:szCs w:val="21"/>
              </w:rPr>
            </w:pPr>
            <w:r>
              <w:rPr>
                <w:rFonts w:hint="eastAsia" w:hAnsi="宋体"/>
                <w:szCs w:val="21"/>
              </w:rPr>
              <w:t>10分</w:t>
            </w:r>
          </w:p>
        </w:tc>
        <w:tc>
          <w:tcPr>
            <w:tcW w:w="7952" w:type="dxa"/>
            <w:gridSpan w:val="4"/>
            <w:tcBorders>
              <w:bottom w:val="single" w:color="auto" w:sz="4" w:space="0"/>
            </w:tcBorders>
            <w:vAlign w:val="center"/>
          </w:tcPr>
          <w:p>
            <w:pPr>
              <w:spacing w:line="276" w:lineRule="auto"/>
              <w:rPr>
                <w:rFonts w:hint="eastAsia" w:ascii="宋体" w:hAnsi="宋体"/>
                <w:kern w:val="2"/>
                <w:sz w:val="21"/>
                <w:szCs w:val="21"/>
              </w:rPr>
            </w:pPr>
            <w:r>
              <w:rPr>
                <w:rFonts w:hint="eastAsia" w:ascii="宋体" w:hAnsi="宋体"/>
                <w:kern w:val="2"/>
                <w:sz w:val="21"/>
                <w:szCs w:val="21"/>
              </w:rPr>
              <w:t>评标价得分计算公式示例：</w:t>
            </w:r>
          </w:p>
          <w:p>
            <w:pPr>
              <w:spacing w:line="276" w:lineRule="auto"/>
              <w:rPr>
                <w:rFonts w:hint="eastAsia" w:ascii="宋体" w:hAnsi="宋体"/>
                <w:kern w:val="2"/>
                <w:sz w:val="21"/>
                <w:szCs w:val="21"/>
              </w:rPr>
            </w:pPr>
            <w:r>
              <w:rPr>
                <w:rFonts w:hint="eastAsia" w:ascii="宋体" w:hAnsi="宋体"/>
                <w:kern w:val="2"/>
                <w:sz w:val="21"/>
                <w:szCs w:val="21"/>
              </w:rPr>
              <w:t>（1）如果投标人的评标价＞评标基准价，则评标价得分=F-（投标人评标价-  评标基准价）/评标基准价×100×E1；</w:t>
            </w:r>
          </w:p>
          <w:p>
            <w:pPr>
              <w:spacing w:line="276" w:lineRule="auto"/>
              <w:rPr>
                <w:rFonts w:hint="eastAsia" w:ascii="宋体" w:hAnsi="宋体"/>
                <w:kern w:val="2"/>
                <w:sz w:val="21"/>
                <w:szCs w:val="21"/>
              </w:rPr>
            </w:pPr>
            <w:r>
              <w:rPr>
                <w:rFonts w:hint="eastAsia" w:ascii="宋体" w:hAnsi="宋体"/>
                <w:kern w:val="2"/>
                <w:sz w:val="21"/>
                <w:szCs w:val="21"/>
              </w:rPr>
              <w:t>（2）如果投标人的评标价≤评标基准价，则评标价得分=F+（投标人评标价-  评标基准价）/评标基准价×100×E2。</w:t>
            </w:r>
          </w:p>
          <w:p>
            <w:pPr>
              <w:spacing w:line="276" w:lineRule="auto"/>
              <w:jc w:val="left"/>
              <w:rPr>
                <w:rFonts w:hint="eastAsia" w:ascii="宋体" w:hAnsi="宋体"/>
                <w:kern w:val="2"/>
                <w:sz w:val="21"/>
                <w:szCs w:val="21"/>
              </w:rPr>
            </w:pPr>
            <w:r>
              <w:rPr>
                <w:rFonts w:hint="eastAsia" w:ascii="宋体" w:hAnsi="宋体"/>
                <w:kern w:val="2"/>
                <w:sz w:val="21"/>
                <w:szCs w:val="21"/>
              </w:rPr>
              <w:t>其中，F=10；E1=0.2；E2=0.1；评标价最低得分为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restart"/>
            <w:vAlign w:val="center"/>
          </w:tcPr>
          <w:p>
            <w:pPr>
              <w:pStyle w:val="5"/>
              <w:spacing w:line="276" w:lineRule="auto"/>
              <w:jc w:val="center"/>
              <w:rPr>
                <w:rFonts w:hAnsi="宋体"/>
                <w:szCs w:val="21"/>
              </w:rPr>
            </w:pPr>
            <w:r>
              <w:rPr>
                <w:rFonts w:hint="eastAsia" w:hAnsi="宋体"/>
                <w:szCs w:val="21"/>
              </w:rPr>
              <w:t>2.2.4（4）</w:t>
            </w:r>
          </w:p>
        </w:tc>
        <w:tc>
          <w:tcPr>
            <w:tcW w:w="771" w:type="dxa"/>
            <w:vMerge w:val="restart"/>
            <w:vAlign w:val="center"/>
          </w:tcPr>
          <w:p>
            <w:pPr>
              <w:pStyle w:val="5"/>
              <w:spacing w:line="276" w:lineRule="auto"/>
              <w:jc w:val="center"/>
              <w:rPr>
                <w:rFonts w:hAnsi="宋体"/>
                <w:szCs w:val="21"/>
              </w:rPr>
            </w:pPr>
            <w:r>
              <w:rPr>
                <w:rFonts w:hint="eastAsia" w:hAnsi="宋体"/>
                <w:szCs w:val="21"/>
              </w:rPr>
              <w:t>其他因素</w:t>
            </w:r>
          </w:p>
        </w:tc>
        <w:tc>
          <w:tcPr>
            <w:tcW w:w="865" w:type="dxa"/>
            <w:vMerge w:val="restart"/>
            <w:tcBorders>
              <w:top w:val="single" w:color="auto" w:sz="4" w:space="0"/>
            </w:tcBorders>
            <w:vAlign w:val="center"/>
          </w:tcPr>
          <w:p>
            <w:pPr>
              <w:pStyle w:val="5"/>
              <w:spacing w:line="276" w:lineRule="auto"/>
              <w:jc w:val="center"/>
              <w:rPr>
                <w:rFonts w:hAnsi="宋体"/>
                <w:szCs w:val="21"/>
              </w:rPr>
            </w:pPr>
            <w:r>
              <w:rPr>
                <w:rFonts w:hint="eastAsia" w:hAnsi="宋体"/>
                <w:szCs w:val="21"/>
              </w:rPr>
              <w:t>25分</w:t>
            </w:r>
          </w:p>
        </w:tc>
        <w:tc>
          <w:tcPr>
            <w:tcW w:w="1290" w:type="dxa"/>
            <w:vMerge w:val="restart"/>
            <w:tcBorders>
              <w:top w:val="single" w:color="auto" w:sz="4" w:space="0"/>
            </w:tcBorders>
            <w:vAlign w:val="center"/>
          </w:tcPr>
          <w:p>
            <w:pPr>
              <w:pStyle w:val="5"/>
              <w:spacing w:line="276" w:lineRule="auto"/>
              <w:jc w:val="center"/>
              <w:rPr>
                <w:rFonts w:hAnsi="宋体"/>
                <w:szCs w:val="21"/>
              </w:rPr>
            </w:pPr>
            <w:r>
              <w:rPr>
                <w:rFonts w:hint="eastAsia" w:hAnsi="宋体"/>
                <w:szCs w:val="21"/>
              </w:rPr>
              <w:t>业绩</w:t>
            </w:r>
          </w:p>
        </w:tc>
        <w:tc>
          <w:tcPr>
            <w:tcW w:w="629" w:type="dxa"/>
            <w:vMerge w:val="restart"/>
            <w:tcBorders>
              <w:top w:val="single" w:color="auto" w:sz="4" w:space="0"/>
            </w:tcBorders>
            <w:vAlign w:val="center"/>
          </w:tcPr>
          <w:p>
            <w:pPr>
              <w:pStyle w:val="5"/>
              <w:spacing w:line="276" w:lineRule="auto"/>
              <w:jc w:val="center"/>
              <w:rPr>
                <w:rFonts w:hAnsi="宋体"/>
                <w:szCs w:val="21"/>
              </w:rPr>
            </w:pPr>
            <w:r>
              <w:rPr>
                <w:rFonts w:hint="eastAsia" w:hAnsi="宋体"/>
                <w:szCs w:val="21"/>
              </w:rPr>
              <w:t>25分</w:t>
            </w:r>
          </w:p>
        </w:tc>
        <w:tc>
          <w:tcPr>
            <w:tcW w:w="6033" w:type="dxa"/>
            <w:gridSpan w:val="2"/>
            <w:tcBorders>
              <w:top w:val="single" w:color="auto" w:sz="4" w:space="0"/>
              <w:bottom w:val="single" w:color="auto" w:sz="4" w:space="0"/>
            </w:tcBorders>
            <w:vAlign w:val="center"/>
          </w:tcPr>
          <w:p>
            <w:pPr>
              <w:spacing w:line="276" w:lineRule="auto"/>
              <w:rPr>
                <w:rFonts w:hint="eastAsia" w:ascii="宋体" w:hAnsi="宋体"/>
                <w:b/>
                <w:bCs/>
                <w:kern w:val="2"/>
                <w:sz w:val="21"/>
                <w:szCs w:val="21"/>
              </w:rPr>
            </w:pPr>
            <w:r>
              <w:rPr>
                <w:rFonts w:hint="eastAsia" w:ascii="宋体" w:hAnsi="宋体"/>
                <w:b/>
                <w:bCs/>
                <w:kern w:val="2"/>
                <w:sz w:val="21"/>
                <w:szCs w:val="21"/>
              </w:rPr>
              <w:t>满足资格审查条件要求（业绩最低要求）得 15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Merge w:val="continue"/>
            <w:vAlign w:val="center"/>
          </w:tcPr>
          <w:p>
            <w:pPr>
              <w:pStyle w:val="5"/>
              <w:spacing w:line="276" w:lineRule="auto"/>
              <w:jc w:val="center"/>
              <w:rPr>
                <w:rFonts w:hint="eastAsia" w:hAnsi="宋体"/>
                <w:szCs w:val="21"/>
              </w:rPr>
            </w:pPr>
          </w:p>
        </w:tc>
        <w:tc>
          <w:tcPr>
            <w:tcW w:w="771" w:type="dxa"/>
            <w:vMerge w:val="continue"/>
            <w:vAlign w:val="center"/>
          </w:tcPr>
          <w:p>
            <w:pPr>
              <w:pStyle w:val="5"/>
              <w:spacing w:line="276" w:lineRule="auto"/>
              <w:jc w:val="center"/>
              <w:rPr>
                <w:rFonts w:hint="eastAsia" w:hAnsi="宋体"/>
                <w:szCs w:val="21"/>
              </w:rPr>
            </w:pPr>
          </w:p>
        </w:tc>
        <w:tc>
          <w:tcPr>
            <w:tcW w:w="865" w:type="dxa"/>
            <w:vMerge w:val="continue"/>
            <w:tcBorders>
              <w:top w:val="single" w:color="auto" w:sz="4" w:space="0"/>
            </w:tcBorders>
            <w:vAlign w:val="center"/>
          </w:tcPr>
          <w:p>
            <w:pPr>
              <w:pStyle w:val="5"/>
              <w:spacing w:line="276" w:lineRule="auto"/>
              <w:jc w:val="center"/>
              <w:rPr>
                <w:rFonts w:hint="eastAsia" w:hAnsi="宋体"/>
                <w:szCs w:val="21"/>
              </w:rPr>
            </w:pPr>
          </w:p>
        </w:tc>
        <w:tc>
          <w:tcPr>
            <w:tcW w:w="1290" w:type="dxa"/>
            <w:vMerge w:val="continue"/>
            <w:tcBorders>
              <w:top w:val="single" w:color="auto" w:sz="4" w:space="0"/>
            </w:tcBorders>
            <w:vAlign w:val="center"/>
          </w:tcPr>
          <w:p>
            <w:pPr>
              <w:pStyle w:val="5"/>
              <w:spacing w:line="276" w:lineRule="auto"/>
              <w:jc w:val="center"/>
              <w:rPr>
                <w:rFonts w:hint="eastAsia" w:hAnsi="宋体"/>
                <w:szCs w:val="21"/>
              </w:rPr>
            </w:pPr>
          </w:p>
        </w:tc>
        <w:tc>
          <w:tcPr>
            <w:tcW w:w="629" w:type="dxa"/>
            <w:vMerge w:val="continue"/>
            <w:tcBorders>
              <w:top w:val="single" w:color="auto" w:sz="4" w:space="0"/>
            </w:tcBorders>
            <w:vAlign w:val="center"/>
          </w:tcPr>
          <w:p>
            <w:pPr>
              <w:pStyle w:val="5"/>
              <w:spacing w:line="276" w:lineRule="auto"/>
              <w:jc w:val="center"/>
              <w:rPr>
                <w:rFonts w:hint="eastAsia" w:hAnsi="宋体"/>
                <w:szCs w:val="21"/>
              </w:rPr>
            </w:pPr>
          </w:p>
        </w:tc>
        <w:tc>
          <w:tcPr>
            <w:tcW w:w="6033" w:type="dxa"/>
            <w:gridSpan w:val="2"/>
            <w:tcBorders>
              <w:top w:val="single" w:color="auto" w:sz="4" w:space="0"/>
              <w:bottom w:val="single" w:color="auto" w:sz="4" w:space="0"/>
            </w:tcBorders>
            <w:vAlign w:val="center"/>
          </w:tcPr>
          <w:p>
            <w:pPr>
              <w:spacing w:line="276" w:lineRule="auto"/>
              <w:rPr>
                <w:rFonts w:hint="eastAsia" w:ascii="宋体" w:hAnsi="宋体"/>
                <w:b/>
                <w:bCs/>
                <w:kern w:val="2"/>
                <w:sz w:val="21"/>
                <w:szCs w:val="21"/>
              </w:rPr>
            </w:pPr>
            <w:r>
              <w:rPr>
                <w:rFonts w:hint="eastAsia" w:ascii="宋体" w:hAnsi="宋体"/>
                <w:b/>
                <w:bCs/>
                <w:kern w:val="2"/>
                <w:sz w:val="21"/>
                <w:szCs w:val="21"/>
              </w:rPr>
              <w:t>每增加 1 个满足资格审查条件要求（业绩最低要求）的业绩，加 5 分，最多加 10 分</w:t>
            </w:r>
          </w:p>
        </w:tc>
      </w:tr>
    </w:tbl>
    <w:p>
      <w:pPr>
        <w:pStyle w:val="18"/>
        <w:ind w:firstLine="420"/>
        <w:rPr>
          <w:rFonts w:hint="eastAsia" w:ascii="宋体" w:hAnsi="宋体"/>
          <w:b w:val="0"/>
          <w:bCs w:val="0"/>
          <w:kern w:val="2"/>
          <w:sz w:val="21"/>
          <w:szCs w:val="21"/>
        </w:rPr>
      </w:pPr>
      <w:r>
        <w:rPr>
          <w:rFonts w:hint="eastAsia" w:ascii="宋体" w:hAnsi="宋体"/>
          <w:b w:val="0"/>
          <w:bCs w:val="0"/>
          <w:kern w:val="2"/>
          <w:sz w:val="21"/>
          <w:szCs w:val="21"/>
        </w:rPr>
        <w:t>注：1、评委打分保留一位小数。</w:t>
      </w:r>
    </w:p>
    <w:p>
      <w:pPr>
        <w:pStyle w:val="18"/>
        <w:ind w:firstLine="420"/>
        <w:rPr>
          <w:rFonts w:hint="eastAsia" w:ascii="宋体" w:hAnsi="宋体"/>
          <w:b w:val="0"/>
          <w:bCs w:val="0"/>
          <w:kern w:val="2"/>
          <w:sz w:val="21"/>
          <w:szCs w:val="21"/>
        </w:rPr>
      </w:pPr>
      <w:r>
        <w:rPr>
          <w:rFonts w:hint="eastAsia" w:ascii="宋体" w:hAnsi="宋体"/>
          <w:b w:val="0"/>
          <w:bCs w:val="0"/>
          <w:kern w:val="2"/>
          <w:sz w:val="21"/>
          <w:szCs w:val="21"/>
        </w:rPr>
        <w:t>2、各评分因素得分应以评标委员会各成员的打分平均值确定，评标汇总得分保留 2 位小数。</w:t>
      </w:r>
    </w:p>
    <w:p>
      <w:pPr>
        <w:pStyle w:val="17"/>
        <w:spacing w:line="276" w:lineRule="auto"/>
        <w:ind w:firstLine="420" w:firstLineChars="200"/>
        <w:jc w:val="both"/>
        <w:rPr>
          <w:rFonts w:hint="eastAsia" w:ascii="宋体" w:hAnsi="宋体" w:eastAsia="宋体"/>
          <w:b w:val="0"/>
          <w:bCs w:val="0"/>
          <w:kern w:val="2"/>
          <w:sz w:val="21"/>
          <w:szCs w:val="21"/>
          <w:lang w:val="zh-CN" w:eastAsia="zh-CN"/>
        </w:rPr>
      </w:pPr>
      <w:r>
        <w:rPr>
          <w:rFonts w:hint="eastAsia" w:ascii="宋体" w:hAnsi="宋体" w:eastAsia="宋体"/>
          <w:b w:val="0"/>
          <w:bCs w:val="0"/>
          <w:kern w:val="2"/>
          <w:sz w:val="21"/>
          <w:szCs w:val="21"/>
          <w:lang w:val="zh-CN" w:eastAsia="zh-CN"/>
        </w:rPr>
        <w:t>3、技术建议书各评分因素细分项缺项，则该项得 0 分。</w:t>
      </w:r>
    </w:p>
    <w:p>
      <w:pPr>
        <w:rPr>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FC32D5"/>
    <w:rsid w:val="00572947"/>
    <w:rsid w:val="00FC32D5"/>
    <w:rsid w:val="3FE97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8"/>
      <w:sz w:val="28"/>
      <w:szCs w:val="20"/>
      <w:lang w:val="en-US" w:eastAsia="zh-CN" w:bidi="ar-SA"/>
    </w:rPr>
  </w:style>
  <w:style w:type="paragraph" w:styleId="2">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6"/>
    <w:basedOn w:val="1"/>
    <w:next w:val="1"/>
    <w:link w:val="10"/>
    <w:unhideWhenUsed/>
    <w:qFormat/>
    <w:uiPriority w:val="0"/>
    <w:pPr>
      <w:keepNext/>
      <w:keepLines/>
      <w:spacing w:before="240" w:after="64" w:line="320" w:lineRule="auto"/>
      <w:outlineLvl w:val="5"/>
    </w:pPr>
    <w:rPr>
      <w:rFonts w:ascii="等线 Light" w:hAnsi="等线 Light" w:eastAsia="等线 Light"/>
      <w:b/>
      <w:bCs/>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link w:val="16"/>
    <w:qFormat/>
    <w:uiPriority w:val="0"/>
    <w:rPr>
      <w:kern w:val="2"/>
      <w:szCs w:val="24"/>
    </w:rPr>
  </w:style>
  <w:style w:type="paragraph" w:styleId="5">
    <w:name w:val="Plain Text"/>
    <w:basedOn w:val="1"/>
    <w:link w:val="13"/>
    <w:qFormat/>
    <w:uiPriority w:val="0"/>
    <w:rPr>
      <w:rFonts w:ascii="宋体" w:hAnsi="Courier New" w:eastAsiaTheme="minorEastAsia" w:cstheme="minorBidi"/>
      <w:kern w:val="2"/>
      <w:sz w:val="21"/>
      <w:szCs w:val="22"/>
    </w:rPr>
  </w:style>
  <w:style w:type="paragraph" w:styleId="6">
    <w:name w:val="Normal (Web)"/>
    <w:basedOn w:val="1"/>
    <w:link w:val="12"/>
    <w:qFormat/>
    <w:uiPriority w:val="0"/>
    <w:pPr>
      <w:widowControl/>
      <w:spacing w:before="100" w:beforeAutospacing="1" w:after="100" w:afterAutospacing="1" w:line="432" w:lineRule="auto"/>
      <w:ind w:firstLine="480"/>
      <w:jc w:val="left"/>
    </w:pPr>
    <w:rPr>
      <w:rFonts w:ascii="宋体" w:hAnsi="宋体" w:cs="宋体" w:eastAsiaTheme="minorEastAsia"/>
      <w:kern w:val="2"/>
      <w:sz w:val="24"/>
      <w:szCs w:val="24"/>
    </w:rPr>
  </w:style>
  <w:style w:type="character" w:styleId="9">
    <w:name w:val="Hyperlink"/>
    <w:uiPriority w:val="99"/>
    <w:rPr>
      <w:color w:val="333333"/>
      <w:u w:val="none"/>
    </w:rPr>
  </w:style>
  <w:style w:type="character" w:customStyle="1" w:styleId="10">
    <w:name w:val="标题 6 字符"/>
    <w:basedOn w:val="8"/>
    <w:link w:val="3"/>
    <w:uiPriority w:val="0"/>
    <w:rPr>
      <w:rFonts w:ascii="等线 Light" w:hAnsi="等线 Light" w:eastAsia="等线 Light" w:cs="Times New Roman"/>
      <w:b/>
      <w:bCs/>
      <w:kern w:val="28"/>
      <w:sz w:val="24"/>
      <w:szCs w:val="24"/>
    </w:rPr>
  </w:style>
  <w:style w:type="character" w:customStyle="1" w:styleId="11">
    <w:name w:val="正文文本 (2) + 10 pt"/>
    <w:uiPriority w:val="0"/>
    <w:rPr>
      <w:rFonts w:ascii="宋体" w:hAnsi="宋体" w:eastAsia="宋体" w:cs="宋体"/>
      <w:color w:val="000000"/>
      <w:spacing w:val="0"/>
      <w:w w:val="100"/>
      <w:position w:val="0"/>
      <w:sz w:val="20"/>
      <w:szCs w:val="20"/>
      <w:u w:val="none"/>
      <w:shd w:val="clear" w:color="auto" w:fill="FFFFFF"/>
      <w:lang w:val="zh-CN" w:eastAsia="zh-CN" w:bidi="zh-CN"/>
    </w:rPr>
  </w:style>
  <w:style w:type="character" w:customStyle="1" w:styleId="12">
    <w:name w:val="普通(网站) Char"/>
    <w:link w:val="6"/>
    <w:qFormat/>
    <w:uiPriority w:val="0"/>
    <w:rPr>
      <w:rFonts w:ascii="宋体" w:hAnsi="宋体" w:cs="宋体"/>
      <w:sz w:val="24"/>
      <w:szCs w:val="24"/>
    </w:rPr>
  </w:style>
  <w:style w:type="character" w:customStyle="1" w:styleId="13">
    <w:name w:val="纯文本 Char"/>
    <w:link w:val="5"/>
    <w:qFormat/>
    <w:uiPriority w:val="0"/>
    <w:rPr>
      <w:rFonts w:ascii="宋体" w:hAnsi="Courier New"/>
    </w:rPr>
  </w:style>
  <w:style w:type="character" w:customStyle="1" w:styleId="14">
    <w:name w:val="正文文本 (2) + 10.5 p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character" w:customStyle="1" w:styleId="15">
    <w:name w:val="纯文本 字符"/>
    <w:basedOn w:val="8"/>
    <w:semiHidden/>
    <w:uiPriority w:val="99"/>
    <w:rPr>
      <w:rFonts w:hAnsi="Courier New" w:cs="Courier New" w:asciiTheme="minorEastAsia"/>
      <w:kern w:val="28"/>
      <w:sz w:val="28"/>
      <w:szCs w:val="20"/>
    </w:rPr>
  </w:style>
  <w:style w:type="character" w:customStyle="1" w:styleId="16">
    <w:name w:val="正文文本 字符"/>
    <w:basedOn w:val="8"/>
    <w:link w:val="4"/>
    <w:uiPriority w:val="0"/>
    <w:rPr>
      <w:rFonts w:ascii="Times New Roman" w:hAnsi="Times New Roman" w:eastAsia="宋体" w:cs="Times New Roman"/>
      <w:sz w:val="28"/>
      <w:szCs w:val="24"/>
    </w:rPr>
  </w:style>
  <w:style w:type="paragraph" w:customStyle="1" w:styleId="17">
    <w:name w:val="样式54"/>
    <w:basedOn w:val="2"/>
    <w:qFormat/>
    <w:uiPriority w:val="0"/>
    <w:pPr>
      <w:spacing w:before="0" w:after="0" w:line="360" w:lineRule="auto"/>
      <w:jc w:val="center"/>
    </w:pPr>
    <w:rPr>
      <w:rFonts w:ascii="Arial" w:hAnsi="Arial" w:eastAsia="黑体" w:cs="Times New Roman"/>
    </w:rPr>
  </w:style>
  <w:style w:type="paragraph" w:customStyle="1" w:styleId="18">
    <w:name w:val="样式57"/>
    <w:basedOn w:val="1"/>
    <w:qFormat/>
    <w:uiPriority w:val="0"/>
    <w:pPr>
      <w:keepNext/>
      <w:keepLines/>
      <w:spacing w:line="360" w:lineRule="auto"/>
      <w:ind w:firstLine="200" w:firstLineChars="200"/>
      <w:outlineLvl w:val="2"/>
    </w:pPr>
    <w:rPr>
      <w:b/>
      <w:bCs/>
      <w:szCs w:val="32"/>
      <w:lang w:val="zh-CN" w:eastAsia="zh-CN"/>
    </w:rPr>
  </w:style>
  <w:style w:type="paragraph" w:customStyle="1" w:styleId="19">
    <w:name w:val="_Style 18"/>
    <w:basedOn w:val="1"/>
    <w:next w:val="20"/>
    <w:qFormat/>
    <w:uiPriority w:val="1"/>
    <w:pPr>
      <w:ind w:firstLine="420" w:firstLineChars="200"/>
    </w:pPr>
    <w:rPr>
      <w:rFonts w:ascii="Calibri" w:hAnsi="Calibri"/>
      <w:kern w:val="2"/>
      <w:sz w:val="21"/>
      <w:szCs w:val="22"/>
    </w:rPr>
  </w:style>
  <w:style w:type="paragraph" w:styleId="20">
    <w:name w:val="List Paragraph"/>
    <w:basedOn w:val="1"/>
    <w:qFormat/>
    <w:uiPriority w:val="34"/>
    <w:pPr>
      <w:ind w:firstLine="420" w:firstLineChars="200"/>
    </w:pPr>
  </w:style>
  <w:style w:type="paragraph" w:customStyle="1" w:styleId="21">
    <w:name w:val="目录1"/>
    <w:basedOn w:val="1"/>
    <w:uiPriority w:val="0"/>
    <w:rPr>
      <w:rFonts w:ascii="黑体" w:eastAsia="黑体"/>
      <w:kern w:val="2"/>
      <w:sz w:val="52"/>
    </w:rPr>
  </w:style>
  <w:style w:type="character" w:customStyle="1" w:styleId="22">
    <w:name w:val="标题 2 字符"/>
    <w:basedOn w:val="8"/>
    <w:link w:val="2"/>
    <w:semiHidden/>
    <w:uiPriority w:val="9"/>
    <w:rPr>
      <w:rFonts w:asciiTheme="majorHAnsi" w:hAnsiTheme="majorHAnsi" w:eastAsiaTheme="majorEastAsia" w:cstheme="majorBidi"/>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8795</Words>
  <Characters>9631</Characters>
  <Lines>74</Lines>
  <Paragraphs>20</Paragraphs>
  <TotalTime>0</TotalTime>
  <ScaleCrop>false</ScaleCrop>
  <LinksUpToDate>false</LinksUpToDate>
  <CharactersWithSpaces>9941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2023-01-16T01:09:00Z</dcterms:created>
  <dc:creator>m</dc:creator>
  <cp:lastModifiedBy>丁燕</cp:lastModifiedBy>
  <dcterms:modified xsi:type="dcterms:W3CDTF">2023-01-16T01:50:06Z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CBB3165BC08E48AFB77F4896EE675DF1</vt:lpwstr>
  </property>
</Properties>
</file>