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3" w:lineRule="auto"/>
        <w:outlineLvl w:val="1"/>
        <w:rPr>
          <w:rFonts w:hint="eastAsia" w:ascii="宋体" w:hAnsi="宋体" w:eastAsia="宋体" w:cs="Times New Roman"/>
          <w:b/>
          <w:bCs/>
          <w:sz w:val="24"/>
          <w:szCs w:val="32"/>
        </w:rPr>
      </w:pPr>
      <w:r>
        <w:rPr>
          <w:rFonts w:ascii="宋体" w:hAnsi="宋体" w:eastAsia="宋体" w:cs="Times New Roman"/>
          <w:b/>
          <w:bCs/>
          <w:sz w:val="24"/>
          <w:szCs w:val="32"/>
        </w:rPr>
        <w:t>附件</w:t>
      </w:r>
      <w:r>
        <w:rPr>
          <w:rFonts w:hint="eastAsia" w:ascii="宋体" w:hAnsi="宋体" w:eastAsia="宋体" w:cs="Times New Roman"/>
          <w:b/>
          <w:bCs/>
          <w:sz w:val="24"/>
          <w:szCs w:val="32"/>
        </w:rPr>
        <w:t>1</w:t>
      </w:r>
      <w:r>
        <w:rPr>
          <w:rFonts w:ascii="宋体" w:hAnsi="宋体" w:eastAsia="宋体" w:cs="Times New Roman"/>
          <w:b/>
          <w:bCs/>
          <w:sz w:val="24"/>
          <w:szCs w:val="32"/>
        </w:rPr>
        <w:t xml:space="preserve">  资格</w:t>
      </w:r>
      <w:r>
        <w:rPr>
          <w:rFonts w:hint="eastAsia" w:ascii="宋体" w:hAnsi="宋体" w:eastAsia="宋体" w:cs="Times New Roman"/>
          <w:b/>
          <w:bCs/>
          <w:sz w:val="24"/>
          <w:szCs w:val="32"/>
        </w:rPr>
        <w:t>审查条件</w:t>
      </w:r>
    </w:p>
    <w:p>
      <w:pPr>
        <w:rPr>
          <w:rFonts w:hint="eastAsia" w:ascii="宋体" w:hAnsi="宋体" w:eastAsia="宋体" w:cs="Times New Roman"/>
          <w:b/>
          <w:sz w:val="24"/>
          <w:szCs w:val="24"/>
        </w:rPr>
      </w:pP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附录1  资格审查条件（资质最低条件）</w:t>
      </w:r>
    </w:p>
    <w:p>
      <w:pPr>
        <w:spacing w:line="360" w:lineRule="auto"/>
        <w:jc w:val="center"/>
        <w:rPr>
          <w:rFonts w:ascii="宋体" w:hAnsi="宋体" w:eastAsia="宋体" w:cs="Times New Roman"/>
          <w:b/>
          <w:sz w:val="24"/>
          <w:szCs w:val="24"/>
        </w:rPr>
      </w:pPr>
    </w:p>
    <w:tbl>
      <w:tblPr>
        <w:tblStyle w:val="2"/>
        <w:tblW w:w="0" w:type="auto"/>
        <w:tblInd w:w="11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322" w:type="dxa"/>
            <w:tcBorders>
              <w:top w:val="single" w:color="auto" w:sz="2" w:space="0"/>
              <w:left w:val="single" w:color="auto" w:sz="2" w:space="0"/>
              <w:bottom w:val="single" w:color="auto" w:sz="6" w:space="0"/>
              <w:right w:val="single" w:color="auto" w:sz="2"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9322" w:type="dxa"/>
            <w:tcBorders>
              <w:top w:val="single" w:color="auto" w:sz="2" w:space="0"/>
              <w:left w:val="single" w:color="auto" w:sz="2" w:space="0"/>
              <w:bottom w:val="single" w:color="auto" w:sz="2" w:space="0"/>
              <w:right w:val="single" w:color="auto" w:sz="2" w:space="0"/>
            </w:tcBorders>
            <w:vAlign w:val="center"/>
          </w:tcPr>
          <w:p>
            <w:pPr>
              <w:spacing w:line="360" w:lineRule="auto"/>
              <w:ind w:firstLine="283" w:firstLineChars="135"/>
              <w:jc w:val="left"/>
              <w:rPr>
                <w:rFonts w:ascii="宋体" w:hAnsi="宋体" w:eastAsia="宋体" w:cs="Times New Roman"/>
                <w:szCs w:val="21"/>
              </w:rPr>
            </w:pPr>
            <w:r>
              <w:rPr>
                <w:rFonts w:hint="eastAsia" w:ascii="宋体" w:hAnsi="宋体" w:eastAsia="宋体" w:cs="Times New Roman"/>
                <w:szCs w:val="21"/>
              </w:rPr>
              <w:t>投标人须具有独立法人资格，持有有效的企业营业执照或事业单位法人证书。</w:t>
            </w:r>
          </w:p>
        </w:tc>
      </w:tr>
    </w:tbl>
    <w:p>
      <w:pPr>
        <w:jc w:val="center"/>
        <w:rPr>
          <w:rFonts w:hint="eastAsia" w:ascii="宋体" w:hAnsi="宋体" w:eastAsia="宋体" w:cs="Times New Roman"/>
          <w:b/>
          <w:sz w:val="24"/>
          <w:szCs w:val="24"/>
        </w:rPr>
      </w:pPr>
    </w:p>
    <w:p>
      <w:pPr>
        <w:jc w:val="center"/>
        <w:rPr>
          <w:rFonts w:ascii="宋体" w:hAnsi="宋体" w:eastAsia="宋体" w:cs="Times New Roman"/>
          <w:b/>
          <w:sz w:val="18"/>
          <w:szCs w:val="18"/>
        </w:rPr>
      </w:pPr>
      <w:r>
        <w:rPr>
          <w:rFonts w:hint="eastAsia" w:ascii="宋体" w:hAnsi="宋体" w:eastAsia="宋体" w:cs="Times New Roman"/>
          <w:b/>
          <w:sz w:val="24"/>
          <w:szCs w:val="24"/>
        </w:rPr>
        <w:t>附录</w:t>
      </w:r>
      <w:r>
        <w:rPr>
          <w:rFonts w:ascii="宋体" w:hAnsi="宋体" w:eastAsia="宋体" w:cs="Times New Roman"/>
          <w:b/>
          <w:sz w:val="24"/>
          <w:szCs w:val="24"/>
        </w:rPr>
        <w:t xml:space="preserve">2 </w:t>
      </w:r>
      <w:r>
        <w:rPr>
          <w:rFonts w:hint="eastAsia" w:ascii="宋体" w:hAnsi="宋体" w:eastAsia="宋体" w:cs="Times New Roman"/>
          <w:b/>
          <w:sz w:val="24"/>
          <w:szCs w:val="24"/>
        </w:rPr>
        <w:t xml:space="preserve"> 资格审查条件（业绩最低条件）</w:t>
      </w:r>
    </w:p>
    <w:p>
      <w:pPr>
        <w:rPr>
          <w:rFonts w:ascii="宋体" w:hAnsi="宋体" w:eastAsia="宋体" w:cs="Times New Roman"/>
          <w:b/>
          <w:sz w:val="18"/>
          <w:szCs w:val="18"/>
        </w:rPr>
      </w:pPr>
    </w:p>
    <w:tbl>
      <w:tblPr>
        <w:tblStyle w:val="2"/>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vAlign w:val="center"/>
          </w:tcPr>
          <w:p>
            <w:pPr>
              <w:jc w:val="center"/>
              <w:rPr>
                <w:rFonts w:ascii="宋体" w:hAnsi="宋体" w:eastAsia="宋体" w:cs="Times New Roman"/>
                <w:szCs w:val="21"/>
              </w:rPr>
            </w:pPr>
            <w:r>
              <w:rPr>
                <w:rFonts w:hint="eastAsia" w:ascii="宋体" w:hAnsi="宋体" w:eastAsia="宋体" w:cs="Times New Roman"/>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vAlign w:val="center"/>
          </w:tcPr>
          <w:p>
            <w:pPr>
              <w:widowControl/>
              <w:ind w:firstLine="210" w:firstLineChars="100"/>
              <w:jc w:val="left"/>
              <w:rPr>
                <w:rFonts w:ascii="宋体" w:hAnsi="宋体" w:eastAsia="宋体" w:cs="Times New Roman"/>
                <w:szCs w:val="21"/>
              </w:rPr>
            </w:pPr>
            <w:r>
              <w:rPr>
                <w:rFonts w:hint="eastAsia" w:ascii="宋体" w:hAnsi="宋体" w:eastAsia="宋体" w:cs="Times New Roman"/>
                <w:szCs w:val="21"/>
              </w:rPr>
              <w:t>近8年内(2014年7月1日至今，以主管部门验收或鉴定日期为准)投标人至少完成过1项科研项目的研究，并且已被主管部门验收或鉴定。</w:t>
            </w:r>
          </w:p>
        </w:tc>
      </w:tr>
    </w:tbl>
    <w:p>
      <w:pPr>
        <w:jc w:val="center"/>
        <w:rPr>
          <w:rFonts w:ascii="宋体" w:hAnsi="宋体" w:eastAsia="宋体" w:cs="Times New Roman"/>
          <w:b/>
          <w:sz w:val="24"/>
          <w:szCs w:val="24"/>
        </w:rPr>
      </w:pPr>
    </w:p>
    <w:p>
      <w:pPr>
        <w:spacing w:line="360" w:lineRule="auto"/>
        <w:jc w:val="center"/>
        <w:rPr>
          <w:rFonts w:hint="eastAsia" w:ascii="宋体" w:hAnsi="宋体" w:eastAsia="宋体" w:cs="Times New Roman"/>
          <w:b/>
          <w:sz w:val="24"/>
          <w:szCs w:val="24"/>
        </w:rPr>
      </w:pP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附录3  资格审查条件（信誉最低条件）</w:t>
      </w:r>
    </w:p>
    <w:tbl>
      <w:tblPr>
        <w:tblStyle w:val="2"/>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343" w:type="dxa"/>
            <w:vAlign w:val="center"/>
          </w:tcPr>
          <w:p>
            <w:pPr>
              <w:spacing w:line="360" w:lineRule="auto"/>
              <w:ind w:firstLine="420" w:firstLineChars="200"/>
              <w:jc w:val="left"/>
              <w:rPr>
                <w:rFonts w:ascii="宋体" w:hAnsi="宋体" w:eastAsia="宋体" w:cs="Times New Roman"/>
                <w:szCs w:val="21"/>
              </w:rPr>
            </w:pPr>
            <w:r>
              <w:rPr>
                <w:rFonts w:hint="eastAsia" w:ascii="宋体" w:hAnsi="宋体" w:eastAsia="宋体" w:cs="宋体"/>
                <w:szCs w:val="24"/>
              </w:rPr>
              <w:t>投标人过去1年(2021年7月1日至今)不曾在科研项目中违约而被驱逐或因投标人自身的原因而使科研合同被解除</w:t>
            </w:r>
            <w:r>
              <w:rPr>
                <w:rFonts w:hint="eastAsia" w:ascii="宋体" w:hAnsi="宋体" w:eastAsia="宋体" w:cs="Times New Roman"/>
                <w:szCs w:val="21"/>
              </w:rPr>
              <w:t>。</w:t>
            </w:r>
          </w:p>
        </w:tc>
      </w:tr>
    </w:tbl>
    <w:p>
      <w:pPr>
        <w:tabs>
          <w:tab w:val="left" w:pos="3300"/>
        </w:tabs>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附录4  资格审查条件（主要人员最低要求）</w:t>
      </w:r>
    </w:p>
    <w:tbl>
      <w:tblPr>
        <w:tblStyle w:val="2"/>
        <w:tblpPr w:leftFromText="180" w:rightFromText="180" w:vertAnchor="text" w:horzAnchor="margin" w:tblpXSpec="center" w:tblpY="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802"/>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人员</w:t>
            </w:r>
          </w:p>
        </w:tc>
        <w:tc>
          <w:tcPr>
            <w:tcW w:w="802"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数量</w:t>
            </w:r>
          </w:p>
        </w:tc>
        <w:tc>
          <w:tcPr>
            <w:tcW w:w="6657" w:type="dxa"/>
            <w:vAlign w:val="center"/>
          </w:tcPr>
          <w:p>
            <w:pPr>
              <w:jc w:val="center"/>
              <w:rPr>
                <w:rFonts w:ascii="宋体" w:hAnsi="宋体" w:eastAsia="宋体" w:cs="Times New Roman"/>
                <w:szCs w:val="21"/>
              </w:rPr>
            </w:pPr>
            <w:r>
              <w:rPr>
                <w:rFonts w:hint="eastAsia" w:ascii="宋体" w:hAnsi="宋体" w:eastAsia="宋体" w:cs="Times New Roman"/>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dxa"/>
            <w:vAlign w:val="center"/>
          </w:tcPr>
          <w:p>
            <w:pPr>
              <w:snapToGrid w:val="0"/>
              <w:jc w:val="center"/>
              <w:rPr>
                <w:rFonts w:hint="eastAsia" w:ascii="宋体" w:hAnsi="宋体" w:eastAsia="宋体" w:cs="宋体"/>
                <w:bCs/>
                <w:szCs w:val="21"/>
              </w:rPr>
            </w:pPr>
            <w:r>
              <w:rPr>
                <w:rFonts w:hint="eastAsia" w:ascii="宋体" w:hAnsi="宋体" w:eastAsia="宋体" w:cs="宋体"/>
                <w:bCs/>
                <w:szCs w:val="21"/>
              </w:rPr>
              <w:t>项目负责人</w:t>
            </w:r>
          </w:p>
        </w:tc>
        <w:tc>
          <w:tcPr>
            <w:tcW w:w="802" w:type="dxa"/>
            <w:vAlign w:val="center"/>
          </w:tcPr>
          <w:p>
            <w:pPr>
              <w:snapToGrid w:val="0"/>
              <w:jc w:val="center"/>
              <w:rPr>
                <w:rFonts w:hint="eastAsia" w:ascii="宋体" w:hAnsi="宋体" w:eastAsia="宋体" w:cs="宋体"/>
                <w:bCs/>
                <w:szCs w:val="21"/>
              </w:rPr>
            </w:pPr>
            <w:r>
              <w:rPr>
                <w:rFonts w:hint="eastAsia" w:ascii="宋体" w:hAnsi="宋体" w:eastAsia="宋体" w:cs="宋体"/>
                <w:bCs/>
                <w:szCs w:val="21"/>
              </w:rPr>
              <w:t>1人</w:t>
            </w:r>
          </w:p>
        </w:tc>
        <w:tc>
          <w:tcPr>
            <w:tcW w:w="6657" w:type="dxa"/>
            <w:vAlign w:val="center"/>
          </w:tcPr>
          <w:p>
            <w:pPr>
              <w:widowControl/>
              <w:jc w:val="left"/>
              <w:rPr>
                <w:rFonts w:ascii="宋体" w:hAnsi="宋体" w:eastAsia="宋体" w:cs="宋体"/>
                <w:bCs/>
                <w:szCs w:val="21"/>
              </w:rPr>
            </w:pPr>
            <w:r>
              <w:rPr>
                <w:rFonts w:hint="eastAsia" w:ascii="宋体" w:hAnsi="宋体" w:eastAsia="宋体" w:cs="宋体"/>
                <w:kern w:val="0"/>
                <w:szCs w:val="21"/>
                <w:lang w:bidi="ar"/>
              </w:rPr>
              <w:t>具备高级职称或硕士及以上学位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dxa"/>
            <w:vAlign w:val="center"/>
          </w:tcPr>
          <w:p>
            <w:pPr>
              <w:snapToGrid w:val="0"/>
              <w:jc w:val="center"/>
              <w:rPr>
                <w:rFonts w:hint="eastAsia" w:ascii="宋体" w:hAnsi="宋体" w:eastAsia="宋体" w:cs="宋体"/>
                <w:bCs/>
                <w:szCs w:val="21"/>
              </w:rPr>
            </w:pPr>
            <w:r>
              <w:rPr>
                <w:rFonts w:hint="eastAsia" w:ascii="宋体" w:hAnsi="宋体" w:eastAsia="宋体" w:cs="宋体"/>
                <w:bCs/>
                <w:szCs w:val="21"/>
              </w:rPr>
              <w:t>技术负责人</w:t>
            </w:r>
          </w:p>
        </w:tc>
        <w:tc>
          <w:tcPr>
            <w:tcW w:w="802" w:type="dxa"/>
            <w:vAlign w:val="center"/>
          </w:tcPr>
          <w:p>
            <w:pPr>
              <w:snapToGrid w:val="0"/>
              <w:jc w:val="center"/>
              <w:rPr>
                <w:rFonts w:hint="eastAsia" w:ascii="宋体" w:hAnsi="宋体" w:eastAsia="宋体" w:cs="宋体"/>
                <w:bCs/>
                <w:szCs w:val="21"/>
              </w:rPr>
            </w:pPr>
            <w:r>
              <w:rPr>
                <w:rFonts w:hint="eastAsia" w:ascii="宋体" w:hAnsi="宋体" w:eastAsia="宋体" w:cs="宋体"/>
                <w:bCs/>
                <w:szCs w:val="21"/>
              </w:rPr>
              <w:t>1人</w:t>
            </w:r>
          </w:p>
        </w:tc>
        <w:tc>
          <w:tcPr>
            <w:tcW w:w="6657" w:type="dxa"/>
            <w:vAlign w:val="center"/>
          </w:tcPr>
          <w:p>
            <w:pPr>
              <w:widowControl/>
              <w:jc w:val="left"/>
              <w:rPr>
                <w:rFonts w:hint="eastAsia" w:ascii="宋体" w:hAnsi="宋体" w:eastAsia="宋体" w:cs="宋体"/>
                <w:bCs/>
                <w:szCs w:val="21"/>
              </w:rPr>
            </w:pPr>
            <w:r>
              <w:rPr>
                <w:rFonts w:hint="eastAsia" w:ascii="宋体" w:hAnsi="宋体" w:eastAsia="宋体" w:cs="宋体"/>
                <w:kern w:val="0"/>
                <w:szCs w:val="21"/>
                <w:lang w:bidi="ar"/>
              </w:rPr>
              <w:t>具备高级职称或硕士及以上学位</w:t>
            </w:r>
          </w:p>
        </w:tc>
      </w:tr>
    </w:tbl>
    <w:p>
      <w:pPr>
        <w:rPr>
          <w:rFonts w:hint="eastAsia" w:ascii="宋体" w:hAnsi="宋体" w:eastAsia="宋体" w:cs="Times New Roman"/>
          <w:b/>
          <w:bCs/>
          <w:sz w:val="24"/>
          <w:szCs w:val="24"/>
        </w:rPr>
      </w:pPr>
      <w:r>
        <w:rPr>
          <w:rFonts w:ascii="宋体" w:hAnsi="宋体" w:eastAsia="宋体" w:cs="Times New Roman"/>
          <w:b/>
          <w:sz w:val="24"/>
          <w:szCs w:val="24"/>
        </w:rPr>
        <w:br w:type="page"/>
      </w:r>
      <w:r>
        <w:rPr>
          <w:rFonts w:hint="eastAsia" w:ascii="宋体" w:hAnsi="宋体" w:eastAsia="宋体" w:cs="Times New Roman"/>
          <w:b/>
          <w:bCs/>
          <w:sz w:val="24"/>
          <w:szCs w:val="24"/>
        </w:rPr>
        <w:t>附件2 评标办法</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评标办法前附表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pPr>
              <w:adjustRightInd w:val="0"/>
              <w:snapToGrid w:val="0"/>
              <w:spacing w:line="300" w:lineRule="auto"/>
              <w:jc w:val="center"/>
              <w:rPr>
                <w:rFonts w:ascii="宋体" w:hAnsi="宋体" w:eastAsia="宋体" w:cs="Times New Roman"/>
                <w:b/>
                <w:szCs w:val="21"/>
              </w:rPr>
            </w:pPr>
            <w:r>
              <w:rPr>
                <w:rFonts w:hint="eastAsia" w:ascii="宋体" w:hAnsi="宋体" w:eastAsia="宋体" w:cs="Times New Roman"/>
                <w:b/>
                <w:szCs w:val="21"/>
              </w:rPr>
              <w:t>条款号</w:t>
            </w:r>
          </w:p>
        </w:tc>
        <w:tc>
          <w:tcPr>
            <w:tcW w:w="7197" w:type="dxa"/>
            <w:vAlign w:val="center"/>
          </w:tcPr>
          <w:p>
            <w:pPr>
              <w:adjustRightInd w:val="0"/>
              <w:snapToGrid w:val="0"/>
              <w:spacing w:line="300" w:lineRule="auto"/>
              <w:jc w:val="center"/>
              <w:rPr>
                <w:rFonts w:ascii="宋体" w:hAnsi="宋体" w:eastAsia="宋体" w:cs="Times New Roman"/>
                <w:b/>
                <w:szCs w:val="21"/>
              </w:rPr>
            </w:pPr>
            <w:r>
              <w:rPr>
                <w:rFonts w:hint="eastAsia" w:ascii="宋体" w:hAnsi="宋体" w:eastAsia="宋体" w:cs="Times New Roman"/>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vAlign w:val="center"/>
          </w:tcPr>
          <w:p>
            <w:pPr>
              <w:jc w:val="center"/>
              <w:rPr>
                <w:rFonts w:ascii="宋体" w:hAnsi="宋体" w:eastAsia="宋体" w:cs="Times New Roman"/>
                <w:b/>
                <w:szCs w:val="21"/>
              </w:rPr>
            </w:pPr>
            <w:r>
              <w:rPr>
                <w:rFonts w:hint="eastAsia" w:ascii="宋体" w:hAnsi="宋体" w:eastAsia="宋体" w:cs="Times New Roman"/>
                <w:b/>
                <w:szCs w:val="21"/>
              </w:rPr>
              <w:t>1</w:t>
            </w:r>
          </w:p>
        </w:tc>
        <w:tc>
          <w:tcPr>
            <w:tcW w:w="1317" w:type="dxa"/>
            <w:vAlign w:val="center"/>
          </w:tcPr>
          <w:p>
            <w:pPr>
              <w:jc w:val="center"/>
              <w:rPr>
                <w:rFonts w:ascii="Times New Roman" w:hAnsi="Times New Roman" w:eastAsia="宋体" w:cs="Times New Roman"/>
                <w:b/>
                <w:szCs w:val="24"/>
              </w:rPr>
            </w:pPr>
            <w:r>
              <w:rPr>
                <w:rFonts w:hint="eastAsia" w:ascii="宋体" w:hAnsi="宋体" w:eastAsia="宋体" w:cs="Times New Roman"/>
                <w:szCs w:val="21"/>
              </w:rPr>
              <w:t>评标办法</w:t>
            </w:r>
          </w:p>
        </w:tc>
        <w:tc>
          <w:tcPr>
            <w:tcW w:w="7197" w:type="dxa"/>
            <w:vAlign w:val="center"/>
          </w:tcPr>
          <w:p>
            <w:pPr>
              <w:snapToGrid w:val="0"/>
              <w:spacing w:line="320" w:lineRule="exact"/>
              <w:ind w:firstLine="420" w:firstLineChars="200"/>
              <w:jc w:val="left"/>
              <w:textAlignment w:val="baseline"/>
              <w:rPr>
                <w:rFonts w:hint="eastAsia" w:ascii="Times New Roman" w:hAnsi="Times New Roman" w:eastAsia="宋体" w:cs="Times New Roman"/>
                <w:szCs w:val="24"/>
              </w:rPr>
            </w:pPr>
            <w:r>
              <w:rPr>
                <w:rFonts w:hint="eastAsia" w:ascii="Times New Roman" w:hAnsi="Times New Roman" w:eastAsia="宋体" w:cs="Times New Roman"/>
                <w:szCs w:val="24"/>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30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1</w:t>
            </w:r>
            <w:r>
              <w:rPr>
                <w:rFonts w:hint="eastAsia" w:ascii="Times New Roman" w:hAnsi="Times New Roman" w:eastAsia="宋体" w:cs="Times New Roman"/>
                <w:szCs w:val="24"/>
              </w:rPr>
              <w:t>）评标价低的投标人优先；</w:t>
            </w:r>
          </w:p>
          <w:p>
            <w:pPr>
              <w:adjustRightInd w:val="0"/>
              <w:snapToGrid w:val="0"/>
              <w:spacing w:line="300" w:lineRule="exact"/>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2</w:t>
            </w:r>
            <w:r>
              <w:rPr>
                <w:rFonts w:hint="eastAsia" w:ascii="Times New Roman" w:hAnsi="Times New Roman" w:eastAsia="宋体" w:cs="Times New Roman"/>
                <w:szCs w:val="24"/>
              </w:rPr>
              <w:t>）技术得分较高的投标人优先；</w:t>
            </w:r>
          </w:p>
          <w:p>
            <w:pPr>
              <w:adjustRightInd w:val="0"/>
              <w:snapToGrid w:val="0"/>
              <w:spacing w:line="300" w:lineRule="exact"/>
              <w:ind w:firstLine="420" w:firstLineChars="200"/>
              <w:rPr>
                <w:rFonts w:ascii="Times New Roman" w:hAnsi="Times New Roman" w:eastAsia="宋体" w:cs="Times New Roman"/>
                <w:szCs w:val="24"/>
              </w:rPr>
            </w:pPr>
            <w:r>
              <w:rPr>
                <w:rFonts w:hint="eastAsia" w:ascii="宋体" w:hAnsi="宋体" w:eastAsia="宋体" w:cs="宋体"/>
                <w:szCs w:val="21"/>
              </w:rPr>
              <w:t>（3）投标人近8年内满足资格审查条件(业绩最低条件)要求的业绩累计金额高的优先。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pPr>
              <w:adjustRightInd w:val="0"/>
              <w:snapToGrid w:val="0"/>
              <w:spacing w:line="320" w:lineRule="exact"/>
              <w:jc w:val="center"/>
              <w:rPr>
                <w:rFonts w:ascii="宋体" w:hAnsi="宋体" w:eastAsia="宋体" w:cs="Times New Roman"/>
                <w:szCs w:val="21"/>
              </w:rPr>
            </w:pPr>
            <w:r>
              <w:rPr>
                <w:rFonts w:hint="eastAsia" w:ascii="宋体" w:hAnsi="宋体" w:eastAsia="宋体" w:cs="Times New Roman"/>
                <w:szCs w:val="21"/>
              </w:rPr>
              <w:t>2.1.1</w:t>
            </w:r>
          </w:p>
          <w:p>
            <w:pPr>
              <w:adjustRightInd w:val="0"/>
              <w:snapToGrid w:val="0"/>
              <w:spacing w:line="320" w:lineRule="exact"/>
              <w:jc w:val="center"/>
              <w:rPr>
                <w:rFonts w:ascii="宋体" w:hAnsi="宋体" w:eastAsia="宋体" w:cs="Times New Roman"/>
                <w:szCs w:val="21"/>
              </w:rPr>
            </w:pPr>
            <w:r>
              <w:rPr>
                <w:rFonts w:hint="eastAsia" w:ascii="宋体" w:hAnsi="宋体" w:eastAsia="宋体" w:cs="Times New Roman"/>
                <w:szCs w:val="21"/>
              </w:rPr>
              <w:t>2.1.3</w:t>
            </w:r>
          </w:p>
        </w:tc>
        <w:tc>
          <w:tcPr>
            <w:tcW w:w="1317" w:type="dxa"/>
            <w:vAlign w:val="center"/>
          </w:tcPr>
          <w:p>
            <w:pPr>
              <w:adjustRightInd w:val="0"/>
              <w:snapToGrid w:val="0"/>
              <w:spacing w:line="320" w:lineRule="exact"/>
              <w:jc w:val="center"/>
              <w:rPr>
                <w:rFonts w:ascii="宋体" w:hAnsi="宋体" w:eastAsia="宋体" w:cs="Times New Roman"/>
                <w:szCs w:val="21"/>
              </w:rPr>
            </w:pPr>
            <w:r>
              <w:rPr>
                <w:rFonts w:hint="eastAsia" w:ascii="宋体" w:hAnsi="宋体" w:eastAsia="宋体" w:cs="Times New Roman"/>
                <w:szCs w:val="21"/>
              </w:rPr>
              <w:t>形式评审与响应性评审标准</w:t>
            </w:r>
          </w:p>
        </w:tc>
        <w:tc>
          <w:tcPr>
            <w:tcW w:w="7197" w:type="dxa"/>
          </w:tcPr>
          <w:p>
            <w:pPr>
              <w:tabs>
                <w:tab w:val="left" w:pos="3060"/>
              </w:tabs>
              <w:spacing w:line="320" w:lineRule="exact"/>
              <w:rPr>
                <w:rFonts w:hint="eastAsia" w:ascii="Times New Roman" w:hAnsi="Times New Roman" w:eastAsia="宋体" w:cs="Times New Roman"/>
                <w:szCs w:val="24"/>
              </w:rPr>
            </w:pPr>
            <w:r>
              <w:rPr>
                <w:rFonts w:hint="eastAsia" w:ascii="Times New Roman" w:hAnsi="Times New Roman" w:eastAsia="宋体" w:cs="Times New Roman"/>
                <w:szCs w:val="24"/>
              </w:rPr>
              <w:t>第一个信封（商务及技术文件）评审标准:</w:t>
            </w:r>
          </w:p>
          <w:p>
            <w:pPr>
              <w:snapToGrid w:val="0"/>
              <w:spacing w:line="280" w:lineRule="exact"/>
              <w:ind w:firstLine="210" w:firstLineChars="100"/>
              <w:rPr>
                <w:rFonts w:ascii="Times New Roman" w:hAnsi="Times New Roman" w:eastAsia="宋体" w:cs="Times New Roman"/>
                <w:szCs w:val="24"/>
              </w:rPr>
            </w:pPr>
            <w:r>
              <w:rPr>
                <w:rFonts w:hint="eastAsia" w:ascii="Times New Roman" w:hAnsi="Times New Roman" w:eastAsia="宋体" w:cs="Times New Roman"/>
                <w:szCs w:val="24"/>
              </w:rPr>
              <w:t>（1）投标文件按照招标文件规定的格式、内容填写，字迹清晰可辨：</w:t>
            </w:r>
          </w:p>
          <w:p>
            <w:pPr>
              <w:snapToGrid w:val="0"/>
              <w:spacing w:line="28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a.投标函按招标文件规定填报了项目名称、标段号、补遗书编号（如有）、研究期限及项目负责人和技术负责人信息；</w:t>
            </w:r>
          </w:p>
          <w:p>
            <w:pPr>
              <w:snapToGrid w:val="0"/>
              <w:spacing w:line="28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b</w:t>
            </w:r>
            <w:r>
              <w:rPr>
                <w:rFonts w:hint="eastAsia" w:ascii="Times New Roman" w:hAnsi="Times New Roman" w:eastAsia="宋体" w:cs="Times New Roman"/>
                <w:szCs w:val="24"/>
              </w:rPr>
              <w:t>.投标文件组成齐全完整，内容均按规定填写。</w:t>
            </w:r>
          </w:p>
          <w:p>
            <w:pPr>
              <w:snapToGrid w:val="0"/>
              <w:spacing w:line="28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（2）投标文件上法定代表人或其委托代理人的签字、投标人的单位章盖章齐全，符合招标文件规定。</w:t>
            </w:r>
          </w:p>
          <w:p>
            <w:pPr>
              <w:snapToGrid w:val="0"/>
              <w:spacing w:line="280" w:lineRule="exact"/>
              <w:ind w:firstLine="210" w:firstLineChars="100"/>
              <w:rPr>
                <w:rFonts w:ascii="Times New Roman" w:hAnsi="Times New Roman" w:eastAsia="宋体" w:cs="Times New Roman"/>
                <w:szCs w:val="24"/>
              </w:rPr>
            </w:pPr>
            <w:r>
              <w:rPr>
                <w:rFonts w:hint="eastAsia" w:ascii="Times New Roman" w:hAnsi="Times New Roman" w:eastAsia="宋体" w:cs="Times New Roman"/>
                <w:szCs w:val="24"/>
              </w:rPr>
              <w:t>（3）投标人按照招标文件的规定提供了投标保证金：</w:t>
            </w:r>
          </w:p>
          <w:p>
            <w:pPr>
              <w:snapToGrid w:val="0"/>
              <w:spacing w:line="28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a.投标保证金金额符合招标文件规定的金额，且投标保证金有效期不少于投标有效期；</w:t>
            </w:r>
          </w:p>
          <w:p>
            <w:pPr>
              <w:snapToGrid w:val="0"/>
              <w:spacing w:line="28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b.若投标保证金采用电汇或转账形式提交，投标人应在递交投标文件截止时间之前，将投标保证金由投标人的基本账户转入招标人指定账户；</w:t>
            </w:r>
          </w:p>
          <w:p>
            <w:pPr>
              <w:snapToGrid w:val="0"/>
              <w:spacing w:line="28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c.若投标保证金采用银行保函形式提交，银行保函的格式、开具保函的银行均满足招标文件要求，且在递交投标文件截止时间之前向招标人提交了银行保函原件。</w:t>
            </w:r>
          </w:p>
          <w:p>
            <w:pPr>
              <w:snapToGrid w:val="0"/>
              <w:spacing w:line="280" w:lineRule="exact"/>
              <w:ind w:firstLine="210" w:firstLineChars="100"/>
              <w:rPr>
                <w:rFonts w:ascii="Times New Roman" w:hAnsi="Times New Roman" w:eastAsia="宋体" w:cs="Times New Roman"/>
                <w:szCs w:val="24"/>
              </w:rPr>
            </w:pPr>
            <w:r>
              <w:rPr>
                <w:rFonts w:hint="eastAsia" w:ascii="Times New Roman" w:hAnsi="Times New Roman" w:eastAsia="宋体" w:cs="Times New Roman"/>
                <w:szCs w:val="24"/>
              </w:rPr>
              <w:t xml:space="preserve">（4）投标人法定代表人授权委托代理人签署投标文件的，须提交授权委托书，授权委托书的签字盖章符合招标文件规定，授权委托书只能授权给一名委托代理人。 </w:t>
            </w:r>
          </w:p>
          <w:p>
            <w:pPr>
              <w:snapToGrid w:val="0"/>
              <w:spacing w:line="28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（5）投标人法定代表人亲自签署投标文件的，提供了法定代表人身份证明，法定代表人身份证明的签字盖章符合招标文件规定。</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6</w:t>
            </w:r>
            <w:r>
              <w:rPr>
                <w:rFonts w:hint="eastAsia" w:ascii="Times New Roman" w:hAnsi="Times New Roman" w:eastAsia="宋体" w:cs="Times New Roman"/>
                <w:szCs w:val="24"/>
              </w:rPr>
              <w:t>）投标人未以联合体形式投标。</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7</w:t>
            </w:r>
            <w:r>
              <w:rPr>
                <w:rFonts w:hint="eastAsia" w:ascii="Times New Roman" w:hAnsi="Times New Roman" w:eastAsia="宋体" w:cs="Times New Roman"/>
                <w:szCs w:val="24"/>
              </w:rPr>
              <w:t>）</w:t>
            </w:r>
            <w:r>
              <w:rPr>
                <w:rFonts w:ascii="Times New Roman" w:hAnsi="Times New Roman" w:eastAsia="宋体" w:cs="Times New Roman"/>
                <w:szCs w:val="24"/>
              </w:rPr>
              <w:t>投标人未对本项目提出分包计划</w:t>
            </w:r>
            <w:r>
              <w:rPr>
                <w:rFonts w:hint="eastAsia" w:ascii="Times New Roman" w:hAnsi="Times New Roman" w:eastAsia="宋体" w:cs="Times New Roman"/>
                <w:szCs w:val="24"/>
              </w:rPr>
              <w:t>。</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8</w:t>
            </w:r>
            <w:r>
              <w:rPr>
                <w:rFonts w:hint="eastAsia" w:ascii="Times New Roman" w:hAnsi="Times New Roman" w:eastAsia="宋体" w:cs="Times New Roman"/>
                <w:szCs w:val="24"/>
              </w:rPr>
              <w:t>）同一投标人未提交两个以上不同的投标文件。</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9</w:t>
            </w:r>
            <w:r>
              <w:rPr>
                <w:rFonts w:hint="eastAsia" w:ascii="Times New Roman" w:hAnsi="Times New Roman" w:eastAsia="宋体" w:cs="Times New Roman"/>
                <w:szCs w:val="24"/>
              </w:rPr>
              <w:t>）投标文件中未出现有关投标报价的内容。</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10</w:t>
            </w:r>
            <w:r>
              <w:rPr>
                <w:rFonts w:hint="eastAsia" w:ascii="Times New Roman" w:hAnsi="Times New Roman" w:eastAsia="宋体" w:cs="Times New Roman"/>
                <w:szCs w:val="24"/>
              </w:rPr>
              <w:t>）投标文件载明的招标项目完成期限未超过招标文件规定的时限。</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11</w:t>
            </w:r>
            <w:r>
              <w:rPr>
                <w:rFonts w:hint="eastAsia" w:ascii="Times New Roman" w:hAnsi="Times New Roman" w:eastAsia="宋体" w:cs="Times New Roman"/>
                <w:szCs w:val="24"/>
              </w:rPr>
              <w:t>）投标文件对招标文件的实质性要求和条件作出响应。</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12</w:t>
            </w:r>
            <w:r>
              <w:rPr>
                <w:rFonts w:hint="eastAsia" w:ascii="Times New Roman" w:hAnsi="Times New Roman" w:eastAsia="宋体" w:cs="Times New Roman"/>
                <w:szCs w:val="24"/>
              </w:rPr>
              <w:t>）权利义务符合招标文件规定：</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a.投标人应接受招标文件规定的风险划分原则，未提出新的风险划分办法；</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b.投标人未增加发包人的责任范围，或减少投标人义务；</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c.投标人未提出不同的支付办法；</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d.投标人对合同纠纷、事故处理办法未提出异议；</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e.投标人在投标活动中无欺诈行为；</w:t>
            </w:r>
          </w:p>
          <w:p>
            <w:pPr>
              <w:tabs>
                <w:tab w:val="left" w:pos="3060"/>
              </w:tabs>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f.投标人未对合同条款有重要保留。</w:t>
            </w:r>
          </w:p>
          <w:p>
            <w:pPr>
              <w:tabs>
                <w:tab w:val="left" w:pos="3060"/>
              </w:tabs>
              <w:spacing w:line="320" w:lineRule="exact"/>
              <w:rPr>
                <w:rFonts w:hint="eastAsia" w:ascii="Times New Roman" w:hAnsi="Times New Roman" w:eastAsia="宋体" w:cs="Times New Roman"/>
                <w:szCs w:val="24"/>
              </w:rPr>
            </w:pPr>
            <w:r>
              <w:rPr>
                <w:rFonts w:hint="eastAsia" w:ascii="Times New Roman" w:hAnsi="Times New Roman" w:eastAsia="宋体" w:cs="Times New Roman"/>
                <w:szCs w:val="24"/>
              </w:rPr>
              <w:t>（13）投标文件正、副本份数符合招标文件第二章“投标人须知”第3.7.4项规定。</w:t>
            </w:r>
          </w:p>
          <w:p>
            <w:pPr>
              <w:tabs>
                <w:tab w:val="left" w:pos="3060"/>
              </w:tabs>
              <w:spacing w:line="320" w:lineRule="exact"/>
              <w:rPr>
                <w:rFonts w:hint="eastAsia" w:ascii="Times New Roman" w:hAnsi="Times New Roman" w:eastAsia="宋体" w:cs="Times New Roman"/>
                <w:szCs w:val="24"/>
              </w:rPr>
            </w:pPr>
            <w:r>
              <w:rPr>
                <w:rFonts w:hint="eastAsia" w:ascii="Times New Roman" w:hAnsi="Times New Roman" w:eastAsia="宋体" w:cs="Times New Roman"/>
                <w:szCs w:val="24"/>
              </w:rPr>
              <w:t>第二个信封（报价文件）评审标准：</w:t>
            </w:r>
          </w:p>
          <w:p>
            <w:pPr>
              <w:snapToGrid w:val="0"/>
              <w:spacing w:line="280" w:lineRule="exact"/>
              <w:ind w:firstLine="210" w:firstLineChars="100"/>
              <w:rPr>
                <w:rFonts w:ascii="Times New Roman" w:hAnsi="Times New Roman" w:eastAsia="宋体" w:cs="Times New Roman"/>
                <w:szCs w:val="24"/>
              </w:rPr>
            </w:pPr>
            <w:r>
              <w:rPr>
                <w:rFonts w:hint="eastAsia" w:ascii="Times New Roman" w:hAnsi="Times New Roman" w:eastAsia="宋体" w:cs="Times New Roman"/>
                <w:szCs w:val="24"/>
              </w:rPr>
              <w:t>（1）投标文件按照招标文件规定的格式、内容填写，字迹清晰可辨：</w:t>
            </w:r>
          </w:p>
          <w:p>
            <w:pPr>
              <w:snapToGrid w:val="0"/>
              <w:spacing w:line="28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a.投标函按招标文件规定填报了项目名称、标段号、补遗书编号（如有）、投标价（包括大写金额和小写金额）；</w:t>
            </w:r>
          </w:p>
          <w:p>
            <w:pPr>
              <w:snapToGrid w:val="0"/>
              <w:spacing w:line="28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b．投标文件组成齐全完整，内容均按规定填写。</w:t>
            </w:r>
          </w:p>
          <w:p>
            <w:pPr>
              <w:snapToGrid w:val="0"/>
              <w:spacing w:line="28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（2）投标文件上法定代表人或其委托代理人的签字、投标人的单位章盖章齐全，符合招标文件规定。</w:t>
            </w:r>
          </w:p>
          <w:p>
            <w:pPr>
              <w:tabs>
                <w:tab w:val="left" w:pos="3060"/>
              </w:tabs>
              <w:snapToGrid w:val="0"/>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（3）投标报价中的报价未超过招标文件设定的最高投标限价。</w:t>
            </w:r>
          </w:p>
          <w:p>
            <w:pPr>
              <w:tabs>
                <w:tab w:val="left" w:pos="3060"/>
              </w:tabs>
              <w:snapToGrid w:val="0"/>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（4）投标报价中报价的大写金额能够确定具体数值。</w:t>
            </w:r>
          </w:p>
          <w:p>
            <w:pPr>
              <w:tabs>
                <w:tab w:val="left" w:pos="3060"/>
              </w:tabs>
              <w:snapToGrid w:val="0"/>
              <w:spacing w:line="320" w:lineRule="exact"/>
              <w:ind w:firstLine="210" w:firstLineChars="100"/>
              <w:rPr>
                <w:rFonts w:hint="eastAsia" w:ascii="Times New Roman" w:hAnsi="Times New Roman" w:eastAsia="宋体" w:cs="Times New Roman"/>
                <w:szCs w:val="24"/>
              </w:rPr>
            </w:pPr>
            <w:r>
              <w:rPr>
                <w:rFonts w:hint="eastAsia" w:ascii="Times New Roman" w:hAnsi="Times New Roman" w:eastAsia="宋体" w:cs="Times New Roman"/>
                <w:szCs w:val="24"/>
              </w:rPr>
              <w:t>（5）同一投标人未提交两个以上不同的投标报价。</w:t>
            </w:r>
          </w:p>
          <w:p>
            <w:pPr>
              <w:snapToGrid w:val="0"/>
              <w:spacing w:line="320" w:lineRule="exact"/>
              <w:ind w:firstLine="210" w:firstLineChars="100"/>
              <w:rPr>
                <w:rFonts w:hint="eastAsia" w:ascii="宋体" w:hAnsi="宋体" w:eastAsia="宋体" w:cs="Times New Roman"/>
                <w:sz w:val="24"/>
                <w:szCs w:val="24"/>
              </w:rPr>
            </w:pPr>
            <w:r>
              <w:rPr>
                <w:rFonts w:hint="eastAsia" w:ascii="宋体" w:hAnsi="宋体" w:eastAsia="宋体" w:cs="Times New Roman"/>
                <w:szCs w:val="21"/>
              </w:rPr>
              <w:t>（6）投标文件正、副本份数符合招标文件第二章“投标人须知”第3.7.4项规定。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2.1.2</w:t>
            </w:r>
          </w:p>
        </w:tc>
        <w:tc>
          <w:tcPr>
            <w:tcW w:w="13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资格评审标准</w:t>
            </w:r>
          </w:p>
        </w:tc>
        <w:tc>
          <w:tcPr>
            <w:tcW w:w="7197" w:type="dxa"/>
          </w:tcPr>
          <w:p>
            <w:pPr>
              <w:tabs>
                <w:tab w:val="left" w:pos="3060"/>
              </w:tabs>
              <w:spacing w:line="320" w:lineRule="exact"/>
              <w:rPr>
                <w:rFonts w:hint="eastAsia" w:ascii="宋体" w:hAnsi="宋体" w:eastAsia="宋体" w:cs="Times New Roman"/>
                <w:szCs w:val="21"/>
              </w:rPr>
            </w:pPr>
            <w:r>
              <w:rPr>
                <w:rFonts w:hint="eastAsia" w:ascii="宋体" w:hAnsi="宋体" w:eastAsia="宋体" w:cs="Times New Roman"/>
                <w:szCs w:val="21"/>
              </w:rPr>
              <w:t>（1）投标人具备有效的营业执照或事业单位法人证书、组织机构代码证（三证合一或五证合一的除外）和基本账户开户许可证（或基本存款账户信息）；</w:t>
            </w:r>
          </w:p>
          <w:p>
            <w:pPr>
              <w:tabs>
                <w:tab w:val="left" w:pos="3060"/>
              </w:tabs>
              <w:spacing w:line="320" w:lineRule="exact"/>
              <w:rPr>
                <w:rFonts w:hint="eastAsia" w:ascii="宋体" w:hAnsi="宋体" w:eastAsia="宋体" w:cs="Times New Roman"/>
                <w:szCs w:val="21"/>
              </w:rPr>
            </w:pPr>
            <w:r>
              <w:rPr>
                <w:rFonts w:hint="eastAsia" w:ascii="宋体" w:hAnsi="宋体" w:eastAsia="宋体" w:cs="Times New Roman"/>
                <w:szCs w:val="21"/>
              </w:rPr>
              <w:t>（2）投标人的资质等级符合招标文件规定；</w:t>
            </w:r>
          </w:p>
          <w:p>
            <w:pPr>
              <w:rPr>
                <w:rFonts w:hint="eastAsia" w:ascii="宋体" w:hAnsi="宋体" w:eastAsia="宋体" w:cs="宋体"/>
                <w:szCs w:val="21"/>
              </w:rPr>
            </w:pPr>
            <w:r>
              <w:rPr>
                <w:rFonts w:hint="eastAsia" w:ascii="宋体" w:hAnsi="宋体" w:eastAsia="宋体" w:cs="Times New Roman"/>
                <w:sz w:val="24"/>
                <w:szCs w:val="21"/>
              </w:rPr>
              <w:t>（</w:t>
            </w:r>
            <w:r>
              <w:rPr>
                <w:rFonts w:hint="eastAsia" w:ascii="宋体" w:hAnsi="宋体" w:eastAsia="宋体" w:cs="宋体"/>
                <w:szCs w:val="21"/>
              </w:rPr>
              <w:t>3）投标人的类似项目业绩符合招标文件规定；</w:t>
            </w:r>
          </w:p>
          <w:p>
            <w:pPr>
              <w:tabs>
                <w:tab w:val="left" w:pos="3060"/>
              </w:tabs>
              <w:spacing w:line="320" w:lineRule="exact"/>
              <w:rPr>
                <w:rFonts w:hint="eastAsia" w:ascii="宋体" w:hAnsi="宋体" w:eastAsia="宋体" w:cs="Times New Roman"/>
                <w:szCs w:val="21"/>
              </w:rPr>
            </w:pPr>
            <w:r>
              <w:rPr>
                <w:rFonts w:hint="eastAsia" w:ascii="宋体" w:hAnsi="宋体" w:eastAsia="宋体" w:cs="Times New Roman"/>
                <w:szCs w:val="21"/>
              </w:rPr>
              <w:t>（4）投标人的信誉符合招标文件规定；</w:t>
            </w:r>
          </w:p>
          <w:p>
            <w:pPr>
              <w:tabs>
                <w:tab w:val="left" w:pos="3060"/>
              </w:tabs>
              <w:spacing w:line="320" w:lineRule="exact"/>
              <w:rPr>
                <w:rFonts w:hint="eastAsia" w:ascii="宋体" w:hAnsi="宋体" w:eastAsia="宋体" w:cs="Times New Roman"/>
                <w:szCs w:val="21"/>
              </w:rPr>
            </w:pPr>
            <w:r>
              <w:rPr>
                <w:rFonts w:hint="eastAsia" w:ascii="宋体" w:hAnsi="宋体" w:eastAsia="宋体" w:cs="Times New Roman"/>
                <w:szCs w:val="21"/>
              </w:rPr>
              <w:t xml:space="preserve">（5）投标人的主要人员资格符合招标文件规定； </w:t>
            </w:r>
          </w:p>
          <w:p>
            <w:pPr>
              <w:tabs>
                <w:tab w:val="left" w:pos="3060"/>
              </w:tabs>
              <w:spacing w:line="320" w:lineRule="exact"/>
              <w:rPr>
                <w:rFonts w:hint="eastAsia" w:ascii="宋体" w:hAnsi="宋体" w:eastAsia="宋体" w:cs="Times New Roman"/>
                <w:szCs w:val="21"/>
              </w:rPr>
            </w:pPr>
            <w:r>
              <w:rPr>
                <w:rFonts w:hint="eastAsia" w:ascii="宋体" w:hAnsi="宋体" w:eastAsia="宋体" w:cs="Times New Roman"/>
                <w:szCs w:val="21"/>
              </w:rPr>
              <w:t>（6）投标人不存在第二章“投标人须知”第1.4.3项规定的任何一种情形。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pPr>
              <w:adjustRightInd w:val="0"/>
              <w:snapToGrid w:val="0"/>
              <w:spacing w:line="300" w:lineRule="exact"/>
              <w:jc w:val="center"/>
              <w:rPr>
                <w:rFonts w:ascii="宋体" w:hAnsi="宋体" w:eastAsia="宋体" w:cs="Times New Roman"/>
                <w:b/>
                <w:szCs w:val="21"/>
              </w:rPr>
            </w:pPr>
            <w:r>
              <w:rPr>
                <w:rFonts w:hint="eastAsia" w:ascii="宋体" w:hAnsi="宋体" w:eastAsia="宋体" w:cs="Times New Roman"/>
                <w:b/>
                <w:szCs w:val="21"/>
              </w:rPr>
              <w:t>条款号</w:t>
            </w:r>
          </w:p>
        </w:tc>
        <w:tc>
          <w:tcPr>
            <w:tcW w:w="1317" w:type="dxa"/>
            <w:vAlign w:val="center"/>
          </w:tcPr>
          <w:p>
            <w:pPr>
              <w:adjustRightInd w:val="0"/>
              <w:snapToGrid w:val="0"/>
              <w:spacing w:line="300" w:lineRule="exact"/>
              <w:jc w:val="center"/>
              <w:rPr>
                <w:rFonts w:ascii="宋体" w:hAnsi="宋体" w:eastAsia="宋体" w:cs="Times New Roman"/>
                <w:b/>
                <w:szCs w:val="21"/>
              </w:rPr>
            </w:pPr>
            <w:r>
              <w:rPr>
                <w:rFonts w:hint="eastAsia" w:ascii="宋体" w:hAnsi="宋体" w:eastAsia="宋体" w:cs="Times New Roman"/>
                <w:b/>
                <w:szCs w:val="21"/>
              </w:rPr>
              <w:t>条款内容</w:t>
            </w:r>
          </w:p>
        </w:tc>
        <w:tc>
          <w:tcPr>
            <w:tcW w:w="7197" w:type="dxa"/>
            <w:vAlign w:val="center"/>
          </w:tcPr>
          <w:p>
            <w:pPr>
              <w:adjustRightInd w:val="0"/>
              <w:snapToGrid w:val="0"/>
              <w:spacing w:line="300" w:lineRule="exact"/>
              <w:jc w:val="center"/>
              <w:rPr>
                <w:rFonts w:ascii="宋体" w:hAnsi="宋体" w:eastAsia="宋体" w:cs="Times New Roman"/>
                <w:b/>
                <w:szCs w:val="21"/>
              </w:rPr>
            </w:pPr>
            <w:r>
              <w:rPr>
                <w:rFonts w:hint="eastAsia" w:ascii="宋体" w:hAnsi="宋体" w:eastAsia="宋体" w:cs="Times New Roman"/>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jc w:val="center"/>
              <w:rPr>
                <w:rFonts w:ascii="宋体" w:hAnsi="宋体" w:eastAsia="宋体" w:cs="Times New Roman"/>
                <w:szCs w:val="24"/>
              </w:rPr>
            </w:pPr>
            <w:r>
              <w:rPr>
                <w:rFonts w:hint="eastAsia" w:ascii="宋体" w:hAnsi="宋体" w:eastAsia="宋体" w:cs="Times New Roman"/>
                <w:szCs w:val="24"/>
              </w:rPr>
              <w:t>2.2.1</w:t>
            </w:r>
          </w:p>
        </w:tc>
        <w:tc>
          <w:tcPr>
            <w:tcW w:w="1317" w:type="dxa"/>
            <w:vAlign w:val="center"/>
          </w:tcPr>
          <w:p>
            <w:pPr>
              <w:adjustRightInd w:val="0"/>
              <w:snapToGrid w:val="0"/>
              <w:jc w:val="center"/>
              <w:rPr>
                <w:rFonts w:ascii="宋体" w:hAnsi="宋体" w:eastAsia="宋体" w:cs="Times New Roman"/>
                <w:szCs w:val="24"/>
              </w:rPr>
            </w:pPr>
            <w:r>
              <w:rPr>
                <w:rFonts w:hint="eastAsia" w:ascii="宋体" w:hAnsi="宋体" w:eastAsia="宋体" w:cs="Times New Roman"/>
                <w:szCs w:val="24"/>
              </w:rPr>
              <w:t>分值构成（总分100分）</w:t>
            </w:r>
          </w:p>
        </w:tc>
        <w:tc>
          <w:tcPr>
            <w:tcW w:w="7197" w:type="dxa"/>
            <w:vAlign w:val="center"/>
          </w:tcPr>
          <w:p>
            <w:pPr>
              <w:adjustRightInd w:val="0"/>
              <w:snapToGrid w:val="0"/>
              <w:rPr>
                <w:rFonts w:hint="eastAsia" w:ascii="宋体" w:hAnsi="宋体" w:eastAsia="宋体" w:cs="Times New Roman"/>
                <w:b/>
                <w:szCs w:val="24"/>
              </w:rPr>
            </w:pPr>
            <w:r>
              <w:rPr>
                <w:rFonts w:hint="eastAsia" w:ascii="宋体" w:hAnsi="宋体" w:eastAsia="宋体" w:cs="Times New Roman"/>
                <w:b/>
                <w:szCs w:val="24"/>
              </w:rPr>
              <w:t>第一个信封（商务及技术文件）评分分值构成：</w:t>
            </w:r>
          </w:p>
          <w:p>
            <w:pPr>
              <w:adjustRightInd w:val="0"/>
              <w:snapToGrid w:val="0"/>
              <w:rPr>
                <w:rFonts w:hint="eastAsia" w:ascii="宋体" w:hAnsi="宋体" w:eastAsia="宋体" w:cs="Times New Roman"/>
                <w:szCs w:val="24"/>
              </w:rPr>
            </w:pPr>
            <w:r>
              <w:rPr>
                <w:rFonts w:hint="eastAsia" w:ascii="宋体" w:hAnsi="宋体" w:eastAsia="宋体" w:cs="Times New Roman"/>
                <w:szCs w:val="24"/>
              </w:rPr>
              <w:t>技术建议书：45分</w:t>
            </w:r>
          </w:p>
          <w:p>
            <w:pPr>
              <w:adjustRightInd w:val="0"/>
              <w:snapToGrid w:val="0"/>
              <w:rPr>
                <w:rFonts w:hint="eastAsia" w:ascii="宋体" w:hAnsi="宋体" w:eastAsia="宋体" w:cs="Times New Roman"/>
                <w:szCs w:val="24"/>
              </w:rPr>
            </w:pPr>
            <w:r>
              <w:rPr>
                <w:rFonts w:hint="eastAsia" w:ascii="宋体" w:hAnsi="宋体" w:eastAsia="宋体" w:cs="Times New Roman"/>
                <w:szCs w:val="24"/>
              </w:rPr>
              <w:t>主要人员：10分</w:t>
            </w:r>
          </w:p>
          <w:p>
            <w:pPr>
              <w:adjustRightInd w:val="0"/>
              <w:snapToGrid w:val="0"/>
              <w:rPr>
                <w:rFonts w:hint="eastAsia" w:ascii="宋体" w:hAnsi="宋体" w:eastAsia="宋体" w:cs="Times New Roman"/>
                <w:szCs w:val="24"/>
              </w:rPr>
            </w:pPr>
            <w:r>
              <w:rPr>
                <w:rFonts w:hint="eastAsia" w:ascii="宋体" w:hAnsi="宋体" w:eastAsia="宋体" w:cs="Times New Roman"/>
                <w:szCs w:val="24"/>
              </w:rPr>
              <w:t>其    它：15分</w:t>
            </w:r>
            <w:bookmarkStart w:id="0" w:name="_GoBack"/>
            <w:bookmarkEnd w:id="0"/>
          </w:p>
          <w:p>
            <w:pPr>
              <w:adjustRightInd w:val="0"/>
              <w:snapToGrid w:val="0"/>
              <w:rPr>
                <w:rFonts w:hint="eastAsia" w:ascii="宋体" w:hAnsi="宋体" w:eastAsia="宋体" w:cs="Times New Roman"/>
                <w:b/>
                <w:szCs w:val="24"/>
              </w:rPr>
            </w:pPr>
            <w:r>
              <w:rPr>
                <w:rFonts w:hint="eastAsia" w:ascii="宋体" w:hAnsi="宋体" w:eastAsia="宋体" w:cs="Times New Roman"/>
                <w:b/>
                <w:szCs w:val="24"/>
              </w:rPr>
              <w:t>第二个信封（报价文件）评分分值构成：</w:t>
            </w:r>
          </w:p>
          <w:p>
            <w:pPr>
              <w:adjustRightInd w:val="0"/>
              <w:snapToGrid w:val="0"/>
              <w:rPr>
                <w:rFonts w:ascii="宋体" w:hAnsi="宋体" w:eastAsia="宋体" w:cs="Times New Roman"/>
                <w:szCs w:val="24"/>
              </w:rPr>
            </w:pPr>
            <w:r>
              <w:rPr>
                <w:rFonts w:hint="eastAsia" w:ascii="宋体" w:hAnsi="宋体" w:eastAsia="宋体" w:cs="Times New Roman"/>
                <w:szCs w:val="24"/>
              </w:rPr>
              <w:t>评 标 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vAlign w:val="center"/>
          </w:tcPr>
          <w:p>
            <w:pPr>
              <w:adjustRightInd w:val="0"/>
              <w:snapToGrid w:val="0"/>
              <w:spacing w:line="300" w:lineRule="exact"/>
              <w:jc w:val="center"/>
              <w:rPr>
                <w:rFonts w:ascii="宋体" w:hAnsi="宋体" w:eastAsia="宋体" w:cs="Times New Roman"/>
                <w:szCs w:val="21"/>
              </w:rPr>
            </w:pPr>
            <w:r>
              <w:rPr>
                <w:rFonts w:hint="eastAsia" w:ascii="宋体" w:hAnsi="宋体" w:eastAsia="宋体" w:cs="Times New Roman"/>
                <w:szCs w:val="21"/>
              </w:rPr>
              <w:t>2.2.2</w:t>
            </w:r>
          </w:p>
        </w:tc>
        <w:tc>
          <w:tcPr>
            <w:tcW w:w="1317" w:type="dxa"/>
            <w:vAlign w:val="center"/>
          </w:tcPr>
          <w:p>
            <w:pPr>
              <w:adjustRightInd w:val="0"/>
              <w:snapToGrid w:val="0"/>
              <w:spacing w:line="300" w:lineRule="exact"/>
              <w:jc w:val="center"/>
              <w:rPr>
                <w:rFonts w:ascii="宋体" w:hAnsi="宋体" w:eastAsia="宋体" w:cs="Times New Roman"/>
                <w:szCs w:val="21"/>
              </w:rPr>
            </w:pPr>
            <w:r>
              <w:rPr>
                <w:rFonts w:hint="eastAsia" w:ascii="宋体" w:hAnsi="宋体" w:eastAsia="宋体" w:cs="Times New Roman"/>
                <w:szCs w:val="21"/>
              </w:rPr>
              <w:t>评标基准价计算方法</w:t>
            </w:r>
          </w:p>
        </w:tc>
        <w:tc>
          <w:tcPr>
            <w:tcW w:w="7197" w:type="dxa"/>
            <w:vAlign w:val="center"/>
          </w:tcPr>
          <w:p>
            <w:pPr>
              <w:spacing w:line="300" w:lineRule="exact"/>
              <w:rPr>
                <w:rFonts w:hint="eastAsia" w:ascii="Times New Roman" w:hAnsi="Times New Roman" w:eastAsia="宋体" w:cs="Times New Roman"/>
                <w:szCs w:val="24"/>
              </w:rPr>
            </w:pPr>
            <w:r>
              <w:rPr>
                <w:rFonts w:hint="eastAsia" w:ascii="Times New Roman" w:hAnsi="Times New Roman" w:eastAsia="宋体" w:cs="Times New Roman"/>
                <w:szCs w:val="24"/>
              </w:rPr>
              <w:t>评标基准价的计算：</w:t>
            </w:r>
          </w:p>
          <w:p>
            <w:pPr>
              <w:spacing w:line="300" w:lineRule="exact"/>
              <w:rPr>
                <w:rFonts w:hint="eastAsia" w:ascii="Times New Roman" w:hAnsi="Times New Roman" w:eastAsia="宋体" w:cs="Times New Roman"/>
                <w:szCs w:val="24"/>
              </w:rPr>
            </w:pPr>
            <w:r>
              <w:rPr>
                <w:rFonts w:hint="eastAsia" w:ascii="Times New Roman" w:hAnsi="Times New Roman" w:eastAsia="宋体" w:cs="Times New Roman"/>
                <w:szCs w:val="24"/>
              </w:rPr>
              <w:t xml:space="preserve">    开标现场，招标人将当场计算并宣布评标基准价。</w:t>
            </w:r>
          </w:p>
          <w:p>
            <w:pPr>
              <w:spacing w:line="300" w:lineRule="exact"/>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1、评标价的确定：</w:t>
            </w:r>
          </w:p>
          <w:p>
            <w:pPr>
              <w:spacing w:line="300" w:lineRule="exact"/>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评标价=投标函文字报价</w:t>
            </w:r>
          </w:p>
          <w:p>
            <w:pPr>
              <w:spacing w:line="300" w:lineRule="exact"/>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2、评标价平均值的计算：</w:t>
            </w:r>
          </w:p>
          <w:p>
            <w:pPr>
              <w:spacing w:line="300" w:lineRule="exact"/>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spacing w:line="300" w:lineRule="exact"/>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 xml:space="preserve">3、评标基准价的确定： </w:t>
            </w:r>
          </w:p>
          <w:p>
            <w:pPr>
              <w:spacing w:line="300" w:lineRule="exact"/>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 xml:space="preserve">评标价平均值直接作为评标基准价。 </w:t>
            </w:r>
          </w:p>
          <w:p>
            <w:pPr>
              <w:spacing w:line="300" w:lineRule="exact"/>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评标基准价保留小数点后两位，小数点后第三位四舍五入。</w:t>
            </w:r>
          </w:p>
          <w:p>
            <w:pPr>
              <w:adjustRightInd w:val="0"/>
              <w:snapToGrid w:val="0"/>
              <w:spacing w:line="320" w:lineRule="exact"/>
              <w:ind w:firstLine="420" w:firstLineChars="200"/>
              <w:rPr>
                <w:rFonts w:ascii="宋体" w:hAnsi="宋体" w:eastAsia="宋体" w:cs="Times New Roman"/>
                <w:szCs w:val="21"/>
              </w:rPr>
            </w:pPr>
            <w:r>
              <w:rPr>
                <w:rFonts w:hint="eastAsia" w:ascii="Times New Roman" w:hAnsi="Times New Roman" w:eastAsia="宋体" w:cs="Times New Roman"/>
                <w:szCs w:val="24"/>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spacing w:line="300" w:lineRule="exact"/>
              <w:jc w:val="center"/>
              <w:rPr>
                <w:rFonts w:ascii="宋体" w:hAnsi="宋体" w:eastAsia="宋体" w:cs="Times New Roman"/>
                <w:szCs w:val="21"/>
              </w:rPr>
            </w:pPr>
            <w:r>
              <w:rPr>
                <w:rFonts w:hint="eastAsia" w:ascii="宋体" w:hAnsi="宋体" w:eastAsia="宋体" w:cs="Times New Roman"/>
                <w:szCs w:val="21"/>
              </w:rPr>
              <w:t>2.2.3</w:t>
            </w:r>
          </w:p>
        </w:tc>
        <w:tc>
          <w:tcPr>
            <w:tcW w:w="1317" w:type="dxa"/>
            <w:vAlign w:val="center"/>
          </w:tcPr>
          <w:p>
            <w:pPr>
              <w:adjustRightInd w:val="0"/>
              <w:snapToGrid w:val="0"/>
              <w:spacing w:line="300" w:lineRule="exact"/>
              <w:jc w:val="center"/>
              <w:rPr>
                <w:rFonts w:ascii="宋体" w:hAnsi="宋体" w:eastAsia="宋体" w:cs="Times New Roman"/>
                <w:szCs w:val="21"/>
              </w:rPr>
            </w:pPr>
            <w:r>
              <w:rPr>
                <w:rFonts w:hint="eastAsia" w:ascii="宋体" w:hAnsi="宋体" w:eastAsia="宋体" w:cs="Times New Roman"/>
                <w:szCs w:val="21"/>
              </w:rPr>
              <w:t>评标价的偏差率计算公式</w:t>
            </w:r>
          </w:p>
        </w:tc>
        <w:tc>
          <w:tcPr>
            <w:tcW w:w="7197" w:type="dxa"/>
            <w:vAlign w:val="center"/>
          </w:tcPr>
          <w:p>
            <w:pPr>
              <w:adjustRightInd w:val="0"/>
              <w:snapToGrid w:val="0"/>
              <w:spacing w:line="300" w:lineRule="exact"/>
              <w:rPr>
                <w:rFonts w:hint="eastAsia" w:ascii="宋体" w:hAnsi="宋体" w:eastAsia="宋体" w:cs="Times New Roman"/>
                <w:szCs w:val="21"/>
              </w:rPr>
            </w:pPr>
            <w:r>
              <w:rPr>
                <w:rFonts w:hint="eastAsia" w:ascii="宋体" w:hAnsi="宋体" w:eastAsia="宋体" w:cs="Times New Roman"/>
                <w:szCs w:val="24"/>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spacing w:line="300" w:lineRule="exact"/>
              <w:jc w:val="center"/>
              <w:rPr>
                <w:rFonts w:ascii="宋体" w:hAnsi="宋体" w:eastAsia="宋体" w:cs="Times New Roman"/>
                <w:szCs w:val="21"/>
              </w:rPr>
            </w:pPr>
            <w:r>
              <w:rPr>
                <w:rFonts w:hint="eastAsia" w:ascii="宋体" w:hAnsi="宋体" w:eastAsia="宋体" w:cs="Times New Roman"/>
                <w:szCs w:val="21"/>
              </w:rPr>
              <w:t>3.6.1</w:t>
            </w:r>
          </w:p>
        </w:tc>
        <w:tc>
          <w:tcPr>
            <w:tcW w:w="1317" w:type="dxa"/>
            <w:vAlign w:val="center"/>
          </w:tcPr>
          <w:p>
            <w:pPr>
              <w:adjustRightInd w:val="0"/>
              <w:snapToGrid w:val="0"/>
              <w:spacing w:line="300" w:lineRule="exact"/>
              <w:jc w:val="center"/>
              <w:rPr>
                <w:rFonts w:hint="eastAsia" w:ascii="宋体" w:hAnsi="宋体" w:eastAsia="宋体" w:cs="Times New Roman"/>
                <w:szCs w:val="21"/>
              </w:rPr>
            </w:pPr>
            <w:r>
              <w:rPr>
                <w:rFonts w:hint="eastAsia" w:ascii="宋体" w:hAnsi="宋体" w:eastAsia="宋体" w:cs="宋体"/>
                <w:szCs w:val="21"/>
              </w:rPr>
              <w:t>信息查询</w:t>
            </w:r>
          </w:p>
        </w:tc>
        <w:tc>
          <w:tcPr>
            <w:tcW w:w="7197" w:type="dxa"/>
            <w:vAlign w:val="center"/>
          </w:tcPr>
          <w:p>
            <w:pPr>
              <w:adjustRightInd w:val="0"/>
              <w:snapToGrid w:val="0"/>
              <w:spacing w:line="320" w:lineRule="exact"/>
              <w:rPr>
                <w:rFonts w:hint="eastAsia" w:ascii="宋体" w:hAnsi="宋体" w:eastAsia="宋体" w:cs="宋体"/>
                <w:szCs w:val="21"/>
              </w:rPr>
            </w:pPr>
            <w:r>
              <w:rPr>
                <w:rFonts w:hint="eastAsia" w:ascii="宋体" w:hAnsi="宋体" w:eastAsia="宋体" w:cs="宋体"/>
                <w:szCs w:val="21"/>
              </w:rPr>
              <w:t>在评标过程中，评标委员会应对以下信息进行查询：</w:t>
            </w:r>
          </w:p>
          <w:p>
            <w:pPr>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评标委员会评标时在“国家企业信用信息公示系统”和“信用中国”网站对投标人的信用情况进行查询，若投标人存在“国家企业信用信息公示系统” 被列入严重违法失信企业名单（不含分公司）（事业单位不适用）或在“信用中国”网站“被列入失信被执行人名单、异常经营名录、税收违法黑名单、政府采购严重违法失信名单”情形的（均不含分公司），评标委员会应否决其投标。</w:t>
            </w:r>
          </w:p>
          <w:p>
            <w:pPr>
              <w:snapToGrid w:val="0"/>
              <w:spacing w:line="320" w:lineRule="exact"/>
              <w:ind w:firstLine="420" w:firstLineChars="200"/>
              <w:rPr>
                <w:rFonts w:hint="eastAsia" w:ascii="宋体" w:hAnsi="宋体" w:eastAsia="宋体" w:cs="Times New Roman"/>
                <w:szCs w:val="24"/>
              </w:rPr>
            </w:pPr>
            <w:r>
              <w:rPr>
                <w:rFonts w:hint="eastAsia" w:ascii="宋体" w:hAnsi="宋体" w:eastAsia="宋体" w:cs="宋体"/>
                <w:szCs w:val="21"/>
              </w:rPr>
              <w:t>如投标人未提供相关网页截图或所附截图与核查结果不一致，评标委员会应否决其投标。</w:t>
            </w:r>
          </w:p>
        </w:tc>
      </w:tr>
    </w:tbl>
    <w:p>
      <w:pPr>
        <w:snapToGrid w:val="0"/>
        <w:spacing w:line="360" w:lineRule="auto"/>
        <w:jc w:val="left"/>
        <w:rPr>
          <w:rFonts w:hint="eastAsia" w:ascii="Times New Roman" w:hAnsi="Times New Roman" w:eastAsia="宋体" w:cs="Times New Roman"/>
          <w:szCs w:val="24"/>
        </w:rPr>
      </w:pPr>
    </w:p>
    <w:p/>
    <w:sectPr>
      <w:pgSz w:w="11906" w:h="16838"/>
      <w:pgMar w:top="1440" w:right="136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F130D2"/>
    <w:rsid w:val="00865424"/>
    <w:rsid w:val="00AE2258"/>
    <w:rsid w:val="00F130D2"/>
    <w:rsid w:val="00F75DD2"/>
    <w:rsid w:val="35C5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小标题 2"/>
    <w:qFormat/>
    <w:locked/>
    <w:uiPriority w:val="0"/>
    <w:rPr>
      <w:rFonts w:ascii="Arial" w:hAnsi="Arial" w:eastAsia="宋体"/>
      <w:b/>
      <w:bCs/>
      <w:kern w:val="2"/>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4082</Words>
  <Characters>4452</Characters>
  <Lines>33</Lines>
  <Paragraphs>9</Paragraphs>
  <TotalTime>2</TotalTime>
  <ScaleCrop>false</ScaleCrop>
  <LinksUpToDate>false</LinksUpToDate>
  <CharactersWithSpaces>4509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2022-08-17T07:24:00Z</dcterms:created>
  <dc:creator>dell</dc:creator>
  <cp:lastModifiedBy>招标管理办公室</cp:lastModifiedBy>
  <dcterms:modified xsi:type="dcterms:W3CDTF">2022-08-18T01:16:12Z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262A4B9B8489498E80CD15E93B06C165</vt:lpwstr>
  </property>
</Properties>
</file>