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sz w:val="24"/>
        </w:rPr>
      </w:pPr>
      <w:bookmarkStart w:id="0" w:name="_Toc38880042"/>
      <w:bookmarkStart w:id="1" w:name="_Toc4605"/>
      <w:r>
        <w:rPr>
          <w:rFonts w:ascii="宋体" w:hAnsi="宋体" w:eastAsia="宋体"/>
          <w:sz w:val="24"/>
        </w:rPr>
        <w:t>附件</w:t>
      </w:r>
      <w:r>
        <w:rPr>
          <w:rFonts w:hint="eastAsia" w:ascii="宋体" w:hAnsi="宋体" w:eastAsia="宋体"/>
          <w:sz w:val="24"/>
        </w:rPr>
        <w:t>1</w:t>
      </w:r>
      <w:r>
        <w:rPr>
          <w:rFonts w:ascii="宋体" w:hAnsi="宋体" w:eastAsia="宋体"/>
          <w:sz w:val="24"/>
        </w:rPr>
        <w:t xml:space="preserve">  资格</w:t>
      </w:r>
      <w:r>
        <w:rPr>
          <w:rFonts w:hint="eastAsia" w:ascii="宋体" w:hAnsi="宋体" w:eastAsia="宋体"/>
          <w:sz w:val="24"/>
        </w:rPr>
        <w:t>审查条件</w:t>
      </w:r>
      <w:bookmarkEnd w:id="0"/>
      <w:bookmarkEnd w:id="1"/>
    </w:p>
    <w:p>
      <w:pPr>
        <w:rPr>
          <w:rFonts w:ascii="宋体" w:hAnsi="宋体"/>
          <w:b/>
          <w:sz w:val="24"/>
        </w:rPr>
      </w:pPr>
    </w:p>
    <w:p>
      <w:pPr>
        <w:spacing w:line="360" w:lineRule="auto"/>
        <w:jc w:val="center"/>
        <w:rPr>
          <w:rStyle w:val="20"/>
          <w:rFonts w:ascii="宋体" w:hAnsi="宋体" w:eastAsia="宋体"/>
          <w:b/>
        </w:rPr>
      </w:pPr>
      <w:r>
        <w:rPr>
          <w:rStyle w:val="20"/>
          <w:rFonts w:hint="eastAsia" w:ascii="宋体" w:hAnsi="宋体" w:eastAsia="宋体"/>
          <w:b/>
        </w:rPr>
        <w:t>附录1  资格审查条件（资质最低条件）</w:t>
      </w:r>
    </w:p>
    <w:p>
      <w:pPr>
        <w:spacing w:line="360" w:lineRule="auto"/>
        <w:jc w:val="center"/>
        <w:rPr>
          <w:rStyle w:val="20"/>
          <w:rFonts w:ascii="宋体" w:hAnsi="宋体" w:eastAsia="宋体"/>
          <w:b/>
        </w:rPr>
      </w:pP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9322" w:type="dxa"/>
            <w:tcBorders>
              <w:top w:val="single" w:color="auto" w:sz="2" w:space="0"/>
              <w:left w:val="single" w:color="auto" w:sz="2" w:space="0"/>
              <w:bottom w:val="single" w:color="auto" w:sz="2" w:space="0"/>
              <w:right w:val="single" w:color="auto" w:sz="2" w:space="0"/>
            </w:tcBorders>
            <w:vAlign w:val="center"/>
          </w:tcPr>
          <w:p>
            <w:pPr>
              <w:spacing w:line="360" w:lineRule="auto"/>
              <w:ind w:firstLine="283" w:firstLineChars="135"/>
              <w:jc w:val="left"/>
              <w:rPr>
                <w:rFonts w:ascii="宋体" w:hAnsi="宋体"/>
                <w:szCs w:val="21"/>
              </w:rPr>
            </w:pPr>
            <w:r>
              <w:rPr>
                <w:rFonts w:hint="eastAsia" w:ascii="宋体" w:hAnsi="宋体"/>
                <w:szCs w:val="21"/>
              </w:rPr>
              <w:t>投标人须具有独立法人资格，持有有效的企业营业执照或事业单位法人证书。</w:t>
            </w:r>
          </w:p>
        </w:tc>
      </w:tr>
    </w:tbl>
    <w:p>
      <w:pPr>
        <w:jc w:val="center"/>
        <w:rPr>
          <w:rStyle w:val="21"/>
          <w:rFonts w:ascii="宋体" w:hAnsi="宋体" w:eastAsia="宋体"/>
          <w:b/>
        </w:rPr>
      </w:pPr>
    </w:p>
    <w:p>
      <w:pPr>
        <w:jc w:val="center"/>
        <w:rPr>
          <w:rStyle w:val="21"/>
          <w:rFonts w:ascii="宋体" w:hAnsi="宋体" w:eastAsia="宋体"/>
          <w:b/>
          <w:sz w:val="18"/>
          <w:szCs w:val="18"/>
        </w:rPr>
      </w:pPr>
      <w:r>
        <w:rPr>
          <w:rStyle w:val="21"/>
          <w:rFonts w:hint="eastAsia" w:ascii="宋体" w:hAnsi="宋体" w:eastAsia="宋体"/>
          <w:b/>
        </w:rPr>
        <w:t>附录</w:t>
      </w:r>
      <w:r>
        <w:rPr>
          <w:rStyle w:val="21"/>
          <w:rFonts w:ascii="宋体" w:hAnsi="宋体" w:eastAsia="宋体"/>
          <w:b/>
        </w:rPr>
        <w:t xml:space="preserve">2 </w:t>
      </w:r>
      <w:r>
        <w:rPr>
          <w:rStyle w:val="21"/>
          <w:rFonts w:hint="eastAsia" w:ascii="宋体" w:hAnsi="宋体" w:eastAsia="宋体"/>
          <w:b/>
        </w:rPr>
        <w:t xml:space="preserve"> 资格审查条件（</w:t>
      </w:r>
      <w:r>
        <w:rPr>
          <w:rFonts w:hint="eastAsia" w:ascii="宋体" w:hAnsi="宋体"/>
          <w:b/>
          <w:sz w:val="24"/>
        </w:rPr>
        <w:t>业绩最低条件</w:t>
      </w:r>
      <w:r>
        <w:rPr>
          <w:rStyle w:val="21"/>
          <w:rFonts w:hint="eastAsia" w:ascii="宋体" w:hAnsi="宋体" w:eastAsia="宋体"/>
          <w:b/>
        </w:rPr>
        <w:t>）</w:t>
      </w:r>
    </w:p>
    <w:p>
      <w:pPr>
        <w:rPr>
          <w:rFonts w:ascii="宋体" w:hAnsi="宋体"/>
          <w:b/>
          <w:sz w:val="18"/>
          <w:szCs w:val="18"/>
        </w:rPr>
      </w:pPr>
    </w:p>
    <w:tbl>
      <w:tblPr>
        <w:tblStyle w:val="17"/>
        <w:tblpPr w:leftFromText="180" w:rightFromText="180" w:vertAnchor="text" w:horzAnchor="margin" w:tblpX="1"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vAlign w:val="center"/>
          </w:tcPr>
          <w:p>
            <w:pPr>
              <w:widowControl/>
              <w:ind w:firstLine="210" w:firstLineChars="100"/>
              <w:jc w:val="left"/>
              <w:rPr>
                <w:rFonts w:ascii="宋体" w:hAnsi="宋体"/>
                <w:szCs w:val="21"/>
              </w:rPr>
            </w:pPr>
            <w:r>
              <w:rPr>
                <w:rFonts w:hint="eastAsia" w:ascii="宋体" w:hAnsi="宋体"/>
                <w:szCs w:val="21"/>
              </w:rPr>
              <w:t>近8年内(2014年7月1日至今，以主管部门验收或鉴定日期为准)投标人至少完成过1项科研项目的研究，并且已被主管部门验收或鉴定。</w:t>
            </w:r>
          </w:p>
        </w:tc>
      </w:tr>
    </w:tbl>
    <w:p>
      <w:pPr>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附录3  资格审查条件（信誉最低条件）</w:t>
      </w:r>
    </w:p>
    <w:tbl>
      <w:tblPr>
        <w:tblStyle w:val="17"/>
        <w:tblpPr w:leftFromText="180" w:rightFromText="180" w:vertAnchor="text" w:horzAnchor="margin" w:tblpX="1"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vAlign w:val="center"/>
          </w:tcPr>
          <w:p>
            <w:pPr>
              <w:spacing w:line="360" w:lineRule="auto"/>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343" w:type="dxa"/>
            <w:vAlign w:val="center"/>
          </w:tcPr>
          <w:p>
            <w:pPr>
              <w:spacing w:line="360" w:lineRule="auto"/>
              <w:ind w:firstLine="420" w:firstLineChars="200"/>
              <w:jc w:val="left"/>
              <w:rPr>
                <w:rFonts w:ascii="宋体" w:hAnsi="宋体"/>
                <w:szCs w:val="21"/>
              </w:rPr>
            </w:pPr>
            <w:r>
              <w:rPr>
                <w:rFonts w:hint="eastAsia" w:ascii="宋体" w:hAnsi="宋体" w:cs="宋体"/>
              </w:rPr>
              <w:t>投标人过去1年(2021年7月1日至今)不曾在科研项目中违约而被驱逐或因投标人自身的原因而使科研合同被解除</w:t>
            </w:r>
            <w:r>
              <w:rPr>
                <w:rFonts w:hint="eastAsia" w:ascii="宋体" w:hAnsi="宋体"/>
                <w:szCs w:val="21"/>
              </w:rPr>
              <w:t>。</w:t>
            </w:r>
          </w:p>
        </w:tc>
      </w:tr>
    </w:tbl>
    <w:p>
      <w:pPr>
        <w:tabs>
          <w:tab w:val="left" w:pos="3300"/>
        </w:tabs>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附录4  资格审查条件（主要人员最低要求）</w:t>
      </w:r>
    </w:p>
    <w:tbl>
      <w:tblPr>
        <w:tblStyle w:val="17"/>
        <w:tblpPr w:leftFromText="180" w:rightFromText="180" w:vertAnchor="text" w:horzAnchor="margin" w:tblpX="1" w:tblpY="2"/>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jc w:val="center"/>
              <w:rPr>
                <w:rFonts w:ascii="宋体" w:hAnsi="宋体"/>
                <w:szCs w:val="21"/>
              </w:rPr>
            </w:pPr>
            <w:bookmarkStart w:id="2" w:name="_GoBack"/>
            <w:r>
              <w:rPr>
                <w:rFonts w:hint="eastAsia" w:ascii="宋体" w:hAnsi="宋体"/>
                <w:szCs w:val="21"/>
              </w:rPr>
              <w:t>人员</w:t>
            </w:r>
          </w:p>
        </w:tc>
        <w:tc>
          <w:tcPr>
            <w:tcW w:w="802" w:type="dxa"/>
            <w:vAlign w:val="center"/>
          </w:tcPr>
          <w:p>
            <w:pPr>
              <w:jc w:val="center"/>
              <w:rPr>
                <w:rFonts w:ascii="宋体" w:hAnsi="宋体"/>
                <w:szCs w:val="21"/>
              </w:rPr>
            </w:pPr>
            <w:r>
              <w:rPr>
                <w:rFonts w:hint="eastAsia" w:ascii="宋体" w:hAnsi="宋体"/>
                <w:szCs w:val="21"/>
              </w:rPr>
              <w:t>数量</w:t>
            </w:r>
          </w:p>
        </w:tc>
        <w:tc>
          <w:tcPr>
            <w:tcW w:w="6482"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snapToGrid w:val="0"/>
              <w:jc w:val="center"/>
              <w:rPr>
                <w:rFonts w:ascii="宋体" w:hAnsi="宋体" w:cs="宋体"/>
                <w:bCs/>
                <w:szCs w:val="21"/>
              </w:rPr>
            </w:pPr>
            <w:r>
              <w:rPr>
                <w:rFonts w:hint="eastAsia" w:ascii="宋体" w:hAnsi="宋体" w:cs="宋体"/>
                <w:bCs/>
                <w:szCs w:val="21"/>
              </w:rPr>
              <w:t>项目负责人</w:t>
            </w:r>
          </w:p>
        </w:tc>
        <w:tc>
          <w:tcPr>
            <w:tcW w:w="802" w:type="dxa"/>
            <w:vAlign w:val="center"/>
          </w:tcPr>
          <w:p>
            <w:pPr>
              <w:snapToGrid w:val="0"/>
              <w:jc w:val="center"/>
              <w:rPr>
                <w:rFonts w:ascii="宋体" w:hAnsi="宋体" w:cs="宋体"/>
                <w:bCs/>
                <w:szCs w:val="21"/>
              </w:rPr>
            </w:pPr>
            <w:r>
              <w:rPr>
                <w:rFonts w:hint="eastAsia" w:ascii="宋体" w:hAnsi="宋体" w:cs="宋体"/>
                <w:bCs/>
                <w:szCs w:val="21"/>
              </w:rPr>
              <w:t>1人</w:t>
            </w:r>
          </w:p>
        </w:tc>
        <w:tc>
          <w:tcPr>
            <w:tcW w:w="6482" w:type="dxa"/>
            <w:vAlign w:val="center"/>
          </w:tcPr>
          <w:p>
            <w:pPr>
              <w:widowControl/>
              <w:jc w:val="left"/>
              <w:rPr>
                <w:rFonts w:ascii="宋体" w:hAnsi="宋体" w:cs="宋体"/>
                <w:bCs/>
                <w:szCs w:val="21"/>
              </w:rPr>
            </w:pPr>
            <w:r>
              <w:rPr>
                <w:rFonts w:hint="eastAsia" w:ascii="宋体" w:hAnsi="宋体" w:cs="宋体"/>
                <w:color w:val="000000"/>
                <w:kern w:val="0"/>
                <w:szCs w:val="21"/>
                <w:lang w:bidi="ar"/>
              </w:rPr>
              <w:t>具备高级职称或硕士及以上学位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snapToGrid w:val="0"/>
              <w:jc w:val="center"/>
              <w:rPr>
                <w:rFonts w:ascii="宋体" w:hAnsi="宋体" w:cs="宋体"/>
                <w:bCs/>
                <w:szCs w:val="21"/>
              </w:rPr>
            </w:pPr>
            <w:r>
              <w:rPr>
                <w:rFonts w:hint="eastAsia" w:ascii="宋体" w:hAnsi="宋体" w:cs="宋体"/>
                <w:bCs/>
                <w:szCs w:val="21"/>
              </w:rPr>
              <w:t>技术负责人</w:t>
            </w:r>
          </w:p>
        </w:tc>
        <w:tc>
          <w:tcPr>
            <w:tcW w:w="802" w:type="dxa"/>
            <w:vAlign w:val="center"/>
          </w:tcPr>
          <w:p>
            <w:pPr>
              <w:snapToGrid w:val="0"/>
              <w:jc w:val="center"/>
              <w:rPr>
                <w:rFonts w:ascii="宋体" w:hAnsi="宋体" w:cs="宋体"/>
                <w:bCs/>
                <w:szCs w:val="21"/>
              </w:rPr>
            </w:pPr>
            <w:r>
              <w:rPr>
                <w:rFonts w:hint="eastAsia" w:ascii="宋体" w:hAnsi="宋体" w:cs="宋体"/>
                <w:bCs/>
                <w:szCs w:val="21"/>
              </w:rPr>
              <w:t>1人</w:t>
            </w:r>
          </w:p>
        </w:tc>
        <w:tc>
          <w:tcPr>
            <w:tcW w:w="6482" w:type="dxa"/>
            <w:vAlign w:val="center"/>
          </w:tcPr>
          <w:p>
            <w:pPr>
              <w:widowControl/>
              <w:jc w:val="left"/>
              <w:rPr>
                <w:rFonts w:ascii="宋体" w:hAnsi="宋体" w:cs="宋体"/>
                <w:bCs/>
                <w:szCs w:val="21"/>
              </w:rPr>
            </w:pPr>
            <w:r>
              <w:rPr>
                <w:rFonts w:hint="eastAsia" w:ascii="宋体" w:hAnsi="宋体" w:cs="宋体"/>
                <w:color w:val="000000"/>
                <w:kern w:val="0"/>
                <w:szCs w:val="21"/>
                <w:lang w:bidi="ar"/>
              </w:rPr>
              <w:t>具备高级职称或硕士及以上学位</w:t>
            </w:r>
          </w:p>
        </w:tc>
      </w:tr>
      <w:bookmarkEnd w:id="2"/>
    </w:tbl>
    <w:p>
      <w:pPr>
        <w:rPr>
          <w:rFonts w:ascii="宋体" w:hAnsi="宋体"/>
          <w:b/>
          <w:bCs/>
          <w:sz w:val="24"/>
        </w:rPr>
      </w:pPr>
      <w:r>
        <w:rPr>
          <w:rFonts w:ascii="宋体" w:hAnsi="宋体"/>
          <w:b/>
          <w:sz w:val="24"/>
        </w:rPr>
        <w:br w:type="page"/>
      </w:r>
      <w:r>
        <w:rPr>
          <w:rFonts w:hint="eastAsia" w:ascii="宋体" w:hAnsi="宋体"/>
          <w:b/>
          <w:bCs/>
          <w:sz w:val="24"/>
        </w:rPr>
        <w:t>附件2 评标办法</w:t>
      </w:r>
    </w:p>
    <w:p>
      <w:pPr>
        <w:snapToGrid w:val="0"/>
        <w:spacing w:line="360" w:lineRule="auto"/>
        <w:jc w:val="center"/>
        <w:rPr>
          <w:rFonts w:ascii="宋体" w:hAnsi="宋体"/>
          <w:b/>
          <w:sz w:val="24"/>
        </w:rPr>
      </w:pPr>
      <w:r>
        <w:rPr>
          <w:rFonts w:hint="eastAsia" w:ascii="宋体" w:hAnsi="宋体"/>
          <w:b/>
          <w:sz w:val="24"/>
        </w:rPr>
        <w:t>评标办法（综合评估法）</w:t>
      </w:r>
    </w:p>
    <w:p>
      <w:pPr>
        <w:spacing w:line="360" w:lineRule="auto"/>
        <w:jc w:val="center"/>
        <w:rPr>
          <w:rFonts w:ascii="宋体" w:hAnsi="宋体"/>
          <w:b/>
          <w:sz w:val="24"/>
        </w:rPr>
      </w:pPr>
      <w:r>
        <w:rPr>
          <w:rFonts w:hint="eastAsia" w:ascii="宋体" w:hAnsi="宋体"/>
          <w:b/>
          <w:sz w:val="24"/>
        </w:rPr>
        <w:t>评标办法前附表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pPr>
              <w:adjustRightInd w:val="0"/>
              <w:snapToGrid w:val="0"/>
              <w:spacing w:line="300" w:lineRule="auto"/>
              <w:jc w:val="center"/>
              <w:rPr>
                <w:rFonts w:ascii="宋体" w:hAnsi="宋体"/>
                <w:b/>
                <w:szCs w:val="21"/>
              </w:rPr>
            </w:pPr>
            <w:r>
              <w:rPr>
                <w:rFonts w:hint="eastAsia" w:ascii="宋体" w:hAnsi="宋体"/>
                <w:b/>
                <w:szCs w:val="21"/>
              </w:rPr>
              <w:t>条款号</w:t>
            </w:r>
          </w:p>
        </w:tc>
        <w:tc>
          <w:tcPr>
            <w:tcW w:w="7197" w:type="dxa"/>
            <w:vAlign w:val="center"/>
          </w:tcPr>
          <w:p>
            <w:pPr>
              <w:adjustRightInd w:val="0"/>
              <w:snapToGrid w:val="0"/>
              <w:spacing w:line="300" w:lineRule="auto"/>
              <w:jc w:val="center"/>
              <w:rPr>
                <w:rFonts w:ascii="宋体" w:hAnsi="宋体"/>
                <w:b/>
                <w:szCs w:val="21"/>
              </w:rPr>
            </w:pPr>
            <w:r>
              <w:rPr>
                <w:rFonts w:hint="eastAsia"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vAlign w:val="center"/>
          </w:tcPr>
          <w:p>
            <w:pPr>
              <w:jc w:val="center"/>
              <w:rPr>
                <w:rFonts w:ascii="宋体" w:hAnsi="宋体"/>
                <w:b/>
                <w:szCs w:val="21"/>
              </w:rPr>
            </w:pPr>
            <w:r>
              <w:rPr>
                <w:rFonts w:hint="eastAsia" w:ascii="宋体" w:hAnsi="宋体"/>
                <w:b/>
                <w:szCs w:val="21"/>
              </w:rPr>
              <w:t>1</w:t>
            </w:r>
          </w:p>
        </w:tc>
        <w:tc>
          <w:tcPr>
            <w:tcW w:w="1317" w:type="dxa"/>
            <w:vAlign w:val="center"/>
          </w:tcPr>
          <w:p>
            <w:pPr>
              <w:jc w:val="center"/>
              <w:rPr>
                <w:b/>
              </w:rPr>
            </w:pPr>
            <w:r>
              <w:rPr>
                <w:rFonts w:hint="eastAsia" w:ascii="宋体" w:hAnsi="宋体"/>
                <w:szCs w:val="21"/>
              </w:rPr>
              <w:t>评标办法</w:t>
            </w:r>
          </w:p>
        </w:tc>
        <w:tc>
          <w:tcPr>
            <w:tcW w:w="7197" w:type="dxa"/>
            <w:vAlign w:val="center"/>
          </w:tcPr>
          <w:p>
            <w:pPr>
              <w:snapToGrid w:val="0"/>
              <w:spacing w:line="320" w:lineRule="exact"/>
              <w:ind w:firstLine="420" w:firstLineChars="200"/>
              <w:jc w:val="left"/>
              <w:textAlignment w:val="baseline"/>
            </w:pPr>
            <w:r>
              <w:rPr>
                <w:rFonts w:hint="eastAsia"/>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pPr>
            <w:r>
              <w:rPr>
                <w:rFonts w:hint="eastAsia"/>
              </w:rPr>
              <w:t>（</w:t>
            </w:r>
            <w:r>
              <w:t>2</w:t>
            </w:r>
            <w:r>
              <w:rPr>
                <w:rFonts w:hint="eastAsia"/>
              </w:rPr>
              <w:t>）技术得分较高的投标人优先；</w:t>
            </w:r>
          </w:p>
          <w:p>
            <w:pPr>
              <w:adjustRightInd w:val="0"/>
              <w:snapToGrid w:val="0"/>
              <w:spacing w:line="300" w:lineRule="exact"/>
              <w:ind w:firstLine="420" w:firstLineChars="200"/>
            </w:pPr>
            <w:r>
              <w:rPr>
                <w:rFonts w:hint="eastAsia" w:ascii="宋体" w:hAnsi="宋体" w:cs="宋体"/>
                <w:szCs w:val="21"/>
              </w:rPr>
              <w:t>（3）投标人近8年内满足资格审查条件(业绩最低条件)要求的业绩累计金额高的优先。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spacing w:line="320" w:lineRule="exact"/>
              <w:jc w:val="center"/>
              <w:rPr>
                <w:rFonts w:ascii="宋体" w:hAnsi="宋体"/>
                <w:szCs w:val="21"/>
              </w:rPr>
            </w:pPr>
            <w:r>
              <w:rPr>
                <w:rFonts w:hint="eastAsia" w:ascii="宋体" w:hAnsi="宋体"/>
                <w:szCs w:val="21"/>
              </w:rPr>
              <w:t>2.1.1</w:t>
            </w:r>
          </w:p>
          <w:p>
            <w:pPr>
              <w:adjustRightInd w:val="0"/>
              <w:snapToGrid w:val="0"/>
              <w:spacing w:line="320" w:lineRule="exact"/>
              <w:jc w:val="center"/>
              <w:rPr>
                <w:rFonts w:ascii="宋体" w:hAnsi="宋体"/>
                <w:szCs w:val="21"/>
              </w:rPr>
            </w:pPr>
            <w:r>
              <w:rPr>
                <w:rFonts w:hint="eastAsia" w:ascii="宋体" w:hAnsi="宋体"/>
                <w:szCs w:val="21"/>
              </w:rPr>
              <w:t>2.1.3</w:t>
            </w:r>
          </w:p>
        </w:tc>
        <w:tc>
          <w:tcPr>
            <w:tcW w:w="1317" w:type="dxa"/>
            <w:vAlign w:val="center"/>
          </w:tcPr>
          <w:p>
            <w:pPr>
              <w:adjustRightInd w:val="0"/>
              <w:snapToGrid w:val="0"/>
              <w:spacing w:line="320" w:lineRule="exact"/>
              <w:jc w:val="center"/>
              <w:rPr>
                <w:rFonts w:ascii="宋体" w:hAnsi="宋体"/>
                <w:szCs w:val="21"/>
              </w:rPr>
            </w:pPr>
            <w:r>
              <w:rPr>
                <w:rFonts w:hint="eastAsia" w:ascii="宋体" w:hAnsi="宋体"/>
                <w:szCs w:val="21"/>
              </w:rPr>
              <w:t>形式评审与响应性评审标准</w:t>
            </w:r>
          </w:p>
        </w:tc>
        <w:tc>
          <w:tcPr>
            <w:tcW w:w="7197" w:type="dxa"/>
          </w:tcPr>
          <w:p>
            <w:pPr>
              <w:tabs>
                <w:tab w:val="left" w:pos="3060"/>
              </w:tabs>
              <w:spacing w:line="320" w:lineRule="exact"/>
            </w:pPr>
            <w:r>
              <w:rPr>
                <w:rFonts w:hint="eastAsia"/>
              </w:rPr>
              <w:t>第一个信封（商务及技术文件）评审标准: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a.投标函按招标文件规定填报了项目名称、标段号、补遗书编号（如有）、研究期限及项目负责人和技术负责人信息；</w:t>
            </w:r>
          </w:p>
          <w:p>
            <w:pPr>
              <w:snapToGrid w:val="0"/>
              <w:spacing w:line="280" w:lineRule="exact"/>
              <w:ind w:firstLine="420" w:firstLineChars="200"/>
            </w:pPr>
            <w:r>
              <w:t>b</w:t>
            </w:r>
            <w:r>
              <w:rPr>
                <w:rFonts w:hint="eastAsia"/>
              </w:rPr>
              <w:t>.投标文件组成齐全完整，内容均按规定填写。</w:t>
            </w:r>
          </w:p>
          <w:p>
            <w:pPr>
              <w:snapToGrid w:val="0"/>
              <w:spacing w:line="280" w:lineRule="exact"/>
              <w:ind w:firstLine="210" w:firstLineChars="100"/>
            </w:pPr>
            <w:r>
              <w:rPr>
                <w:rFonts w:hint="eastAsia"/>
              </w:rPr>
              <w:t>（2）投标文件上法定代表人或其委托代理人的签字、投标人的单位章盖章齐全，符合招标文件规定。</w:t>
            </w:r>
          </w:p>
          <w:p>
            <w:pPr>
              <w:snapToGrid w:val="0"/>
              <w:spacing w:line="280" w:lineRule="exact"/>
              <w:ind w:firstLine="210" w:firstLineChars="100"/>
            </w:pPr>
            <w:r>
              <w:rPr>
                <w:rFonts w:hint="eastAsia"/>
              </w:rPr>
              <w:t>（3）投标人按照招标文件的规定提供了投标保证金：</w:t>
            </w:r>
          </w:p>
          <w:p>
            <w:pPr>
              <w:snapToGrid w:val="0"/>
              <w:spacing w:line="280" w:lineRule="exact"/>
              <w:ind w:firstLine="420" w:firstLineChars="200"/>
            </w:pPr>
            <w:r>
              <w:rPr>
                <w:rFonts w:hint="eastAsia"/>
              </w:rPr>
              <w:t>a.投标保证金金额符合招标文件规定的金额，且投标保证金有效期不少于投标有效期；</w:t>
            </w:r>
          </w:p>
          <w:p>
            <w:pPr>
              <w:snapToGrid w:val="0"/>
              <w:spacing w:line="280" w:lineRule="exact"/>
              <w:ind w:firstLine="420" w:firstLineChars="200"/>
            </w:pPr>
            <w:r>
              <w:rPr>
                <w:rFonts w:hint="eastAsia"/>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pPr>
            <w:r>
              <w:rPr>
                <w:rFonts w:hint="eastAsia"/>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pPr>
            <w:r>
              <w:rPr>
                <w:rFonts w:hint="eastAsia"/>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pPr>
            <w:r>
              <w:rPr>
                <w:rFonts w:hint="eastAsia"/>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pPr>
            <w:r>
              <w:rPr>
                <w:rFonts w:hint="eastAsia"/>
              </w:rPr>
              <w:t>（</w:t>
            </w:r>
            <w:r>
              <w:t>6</w:t>
            </w:r>
            <w:r>
              <w:rPr>
                <w:rFonts w:hint="eastAsia"/>
              </w:rPr>
              <w:t>）投标人未以联合体形式投标。</w:t>
            </w:r>
          </w:p>
          <w:p>
            <w:pPr>
              <w:tabs>
                <w:tab w:val="left" w:pos="3060"/>
              </w:tabs>
              <w:spacing w:line="320" w:lineRule="exact"/>
              <w:ind w:firstLine="210" w:firstLineChars="100"/>
            </w:pPr>
            <w:r>
              <w:rPr>
                <w:rFonts w:hint="eastAsia"/>
              </w:rPr>
              <w:t>（</w:t>
            </w:r>
            <w:r>
              <w:t>7</w:t>
            </w:r>
            <w:r>
              <w:rPr>
                <w:rFonts w:hint="eastAsia"/>
              </w:rPr>
              <w:t>）</w:t>
            </w:r>
            <w:r>
              <w:t>投标人未对本项目提出分包计划</w:t>
            </w:r>
            <w:r>
              <w:rPr>
                <w:rFonts w:hint="eastAsia"/>
              </w:rPr>
              <w:t>。</w:t>
            </w:r>
          </w:p>
          <w:p>
            <w:pPr>
              <w:tabs>
                <w:tab w:val="left" w:pos="3060"/>
              </w:tabs>
              <w:spacing w:line="320" w:lineRule="exact"/>
              <w:ind w:firstLine="210" w:firstLineChars="100"/>
            </w:pPr>
            <w:r>
              <w:rPr>
                <w:rFonts w:hint="eastAsia"/>
              </w:rPr>
              <w:t>（</w:t>
            </w:r>
            <w:r>
              <w:t>8</w:t>
            </w:r>
            <w:r>
              <w:rPr>
                <w:rFonts w:hint="eastAsia"/>
              </w:rPr>
              <w:t>）同一投标人未提交两个以上不同的投标文件。</w:t>
            </w:r>
          </w:p>
          <w:p>
            <w:pPr>
              <w:tabs>
                <w:tab w:val="left" w:pos="3060"/>
              </w:tabs>
              <w:spacing w:line="320" w:lineRule="exact"/>
              <w:ind w:firstLine="210" w:firstLineChars="100"/>
            </w:pPr>
            <w:r>
              <w:rPr>
                <w:rFonts w:hint="eastAsia"/>
              </w:rPr>
              <w:t>（</w:t>
            </w:r>
            <w:r>
              <w:t>9</w:t>
            </w:r>
            <w:r>
              <w:rPr>
                <w:rFonts w:hint="eastAsia"/>
              </w:rPr>
              <w:t>）投标文件中未出现有关投标报价的内容。</w:t>
            </w:r>
          </w:p>
          <w:p>
            <w:pPr>
              <w:tabs>
                <w:tab w:val="left" w:pos="3060"/>
              </w:tabs>
              <w:spacing w:line="320" w:lineRule="exact"/>
              <w:ind w:firstLine="210" w:firstLineChars="100"/>
            </w:pPr>
            <w:r>
              <w:rPr>
                <w:rFonts w:hint="eastAsia"/>
              </w:rPr>
              <w:t>（</w:t>
            </w:r>
            <w:r>
              <w:t>10</w:t>
            </w:r>
            <w:r>
              <w:rPr>
                <w:rFonts w:hint="eastAsia"/>
              </w:rPr>
              <w:t>）投标文件载明的招标项目完成期限未超过招标文件规定的时限。</w:t>
            </w:r>
          </w:p>
          <w:p>
            <w:pPr>
              <w:tabs>
                <w:tab w:val="left" w:pos="3060"/>
              </w:tabs>
              <w:spacing w:line="320" w:lineRule="exact"/>
              <w:ind w:firstLine="210" w:firstLineChars="100"/>
            </w:pPr>
            <w:r>
              <w:rPr>
                <w:rFonts w:hint="eastAsia"/>
              </w:rPr>
              <w:t>（</w:t>
            </w:r>
            <w:r>
              <w:t>11</w:t>
            </w:r>
            <w:r>
              <w:rPr>
                <w:rFonts w:hint="eastAsia"/>
              </w:rPr>
              <w:t>）投标文件对招标文件的实质性要求和条件作出响应。</w:t>
            </w:r>
          </w:p>
          <w:p>
            <w:pPr>
              <w:tabs>
                <w:tab w:val="left" w:pos="3060"/>
              </w:tabs>
              <w:spacing w:line="320" w:lineRule="exact"/>
              <w:ind w:firstLine="210" w:firstLineChars="100"/>
            </w:pPr>
            <w:r>
              <w:rPr>
                <w:rFonts w:hint="eastAsia"/>
              </w:rPr>
              <w:t>（</w:t>
            </w:r>
            <w:r>
              <w:t>12</w:t>
            </w:r>
            <w:r>
              <w:rPr>
                <w:rFonts w:hint="eastAsia"/>
              </w:rPr>
              <w:t>）权利义务符合招标文件规定：</w:t>
            </w:r>
          </w:p>
          <w:p>
            <w:pPr>
              <w:tabs>
                <w:tab w:val="left" w:pos="3060"/>
              </w:tabs>
              <w:spacing w:line="320" w:lineRule="exact"/>
              <w:ind w:firstLine="210" w:firstLineChars="100"/>
            </w:pPr>
            <w:r>
              <w:rPr>
                <w:rFonts w:hint="eastAsia"/>
              </w:rPr>
              <w:t>a.投标人应接受招标文件规定的风险划分原则，未提出新的风险划分办法；</w:t>
            </w:r>
          </w:p>
          <w:p>
            <w:pPr>
              <w:tabs>
                <w:tab w:val="left" w:pos="3060"/>
              </w:tabs>
              <w:spacing w:line="320" w:lineRule="exact"/>
              <w:ind w:firstLine="210" w:firstLineChars="100"/>
            </w:pPr>
            <w:r>
              <w:rPr>
                <w:rFonts w:hint="eastAsia"/>
              </w:rPr>
              <w:t>b.投标人未增加发包人的责任范围，或减少投标人义务；</w:t>
            </w:r>
          </w:p>
          <w:p>
            <w:pPr>
              <w:tabs>
                <w:tab w:val="left" w:pos="3060"/>
              </w:tabs>
              <w:spacing w:line="320" w:lineRule="exact"/>
              <w:ind w:firstLine="210" w:firstLineChars="100"/>
            </w:pPr>
            <w:r>
              <w:rPr>
                <w:rFonts w:hint="eastAsia"/>
              </w:rPr>
              <w:t>c.投标人未提出不同的支付办法；</w:t>
            </w:r>
          </w:p>
          <w:p>
            <w:pPr>
              <w:tabs>
                <w:tab w:val="left" w:pos="3060"/>
              </w:tabs>
              <w:spacing w:line="320" w:lineRule="exact"/>
              <w:ind w:firstLine="210" w:firstLineChars="100"/>
            </w:pPr>
            <w:r>
              <w:rPr>
                <w:rFonts w:hint="eastAsia"/>
              </w:rPr>
              <w:t>d.投标人对合同纠纷、事故处理办法未提出异议；</w:t>
            </w:r>
          </w:p>
          <w:p>
            <w:pPr>
              <w:tabs>
                <w:tab w:val="left" w:pos="3060"/>
              </w:tabs>
              <w:spacing w:line="320" w:lineRule="exact"/>
              <w:ind w:firstLine="210" w:firstLineChars="100"/>
            </w:pPr>
            <w:r>
              <w:rPr>
                <w:rFonts w:hint="eastAsia"/>
              </w:rPr>
              <w:t>e.投标人在投标活动中无欺诈行为；</w:t>
            </w:r>
          </w:p>
          <w:p>
            <w:pPr>
              <w:tabs>
                <w:tab w:val="left" w:pos="3060"/>
              </w:tabs>
              <w:spacing w:line="320" w:lineRule="exact"/>
              <w:ind w:firstLine="210" w:firstLineChars="100"/>
            </w:pPr>
            <w:r>
              <w:rPr>
                <w:rFonts w:hint="eastAsia"/>
              </w:rPr>
              <w:t>f.投标人未对合同条款有重要保留。</w:t>
            </w:r>
          </w:p>
          <w:p>
            <w:pPr>
              <w:tabs>
                <w:tab w:val="left" w:pos="3060"/>
              </w:tabs>
              <w:spacing w:line="320" w:lineRule="exact"/>
            </w:pPr>
            <w:r>
              <w:rPr>
                <w:rFonts w:hint="eastAsia"/>
              </w:rPr>
              <w:t>（13）投标文件正、副本份数符合招标文件第二章“投标人须知”第3.7.4项规定。</w:t>
            </w:r>
          </w:p>
          <w:p>
            <w:pPr>
              <w:tabs>
                <w:tab w:val="left" w:pos="3060"/>
              </w:tabs>
              <w:spacing w:line="320" w:lineRule="exact"/>
            </w:pPr>
            <w:r>
              <w:rPr>
                <w:rFonts w:hint="eastAsia"/>
              </w:rPr>
              <w:t>第二个信封（报价文件）评审标准：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a.投标函按招标文件规定填报了项目名称、标段号、补遗书编号（如有）、投标价（包括大写金额和小写金额）；</w:t>
            </w:r>
          </w:p>
          <w:p>
            <w:pPr>
              <w:snapToGrid w:val="0"/>
              <w:spacing w:line="280" w:lineRule="exact"/>
              <w:ind w:firstLine="420" w:firstLineChars="200"/>
            </w:pPr>
            <w:r>
              <w:rPr>
                <w:rFonts w:hint="eastAsia"/>
              </w:rPr>
              <w:t>b．投标文件组成齐全完整，内容均按规定填写。</w:t>
            </w:r>
          </w:p>
          <w:p>
            <w:pPr>
              <w:snapToGrid w:val="0"/>
              <w:spacing w:line="280" w:lineRule="exact"/>
              <w:ind w:firstLine="210" w:firstLineChars="100"/>
            </w:pPr>
            <w:r>
              <w:rPr>
                <w:rFonts w:hint="eastAsia"/>
              </w:rPr>
              <w:t>（2）投标文件上法定代表人或其委托代理人的签字、投标人的单位章盖章齐全，符合招标文件规定。</w:t>
            </w:r>
          </w:p>
          <w:p>
            <w:pPr>
              <w:tabs>
                <w:tab w:val="left" w:pos="3060"/>
              </w:tabs>
              <w:snapToGrid w:val="0"/>
              <w:spacing w:line="320" w:lineRule="exact"/>
              <w:ind w:firstLine="210" w:firstLineChars="100"/>
            </w:pPr>
            <w:r>
              <w:rPr>
                <w:rFonts w:hint="eastAsia"/>
              </w:rPr>
              <w:t>（3）投标报价中的报价未超过招标文件设定的最高投标限价。</w:t>
            </w:r>
          </w:p>
          <w:p>
            <w:pPr>
              <w:tabs>
                <w:tab w:val="left" w:pos="3060"/>
              </w:tabs>
              <w:snapToGrid w:val="0"/>
              <w:spacing w:line="320" w:lineRule="exact"/>
              <w:ind w:firstLine="210" w:firstLineChars="100"/>
            </w:pPr>
            <w:r>
              <w:rPr>
                <w:rFonts w:hint="eastAsia"/>
              </w:rPr>
              <w:t>（4）投标报价中报价的大写金额能够确定具体数值。</w:t>
            </w:r>
          </w:p>
          <w:p>
            <w:pPr>
              <w:tabs>
                <w:tab w:val="left" w:pos="3060"/>
              </w:tabs>
              <w:snapToGrid w:val="0"/>
              <w:spacing w:line="320" w:lineRule="exact"/>
              <w:ind w:firstLine="210" w:firstLineChars="100"/>
            </w:pPr>
            <w:r>
              <w:rPr>
                <w:rFonts w:hint="eastAsia"/>
              </w:rPr>
              <w:t>（5）同一投标人未提交两个以上不同的投标报价。</w:t>
            </w:r>
          </w:p>
          <w:p>
            <w:pPr>
              <w:pStyle w:val="16"/>
              <w:snapToGrid w:val="0"/>
              <w:spacing w:line="320" w:lineRule="exact"/>
              <w:ind w:firstLine="210" w:firstLineChars="100"/>
            </w:pPr>
            <w:r>
              <w:rPr>
                <w:rFonts w:hint="eastAsia"/>
                <w:sz w:val="21"/>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vAlign w:val="center"/>
          </w:tcPr>
          <w:p>
            <w:pPr>
              <w:adjustRightInd w:val="0"/>
              <w:snapToGrid w:val="0"/>
              <w:jc w:val="center"/>
              <w:rPr>
                <w:rFonts w:ascii="宋体" w:hAnsi="宋体"/>
                <w:szCs w:val="21"/>
              </w:rPr>
            </w:pPr>
            <w:r>
              <w:rPr>
                <w:rFonts w:hint="eastAsia" w:ascii="宋体" w:hAnsi="宋体"/>
                <w:szCs w:val="21"/>
              </w:rPr>
              <w:t>2.1.2</w:t>
            </w:r>
          </w:p>
        </w:tc>
        <w:tc>
          <w:tcPr>
            <w:tcW w:w="1317" w:type="dxa"/>
            <w:vAlign w:val="center"/>
          </w:tcPr>
          <w:p>
            <w:pPr>
              <w:adjustRightInd w:val="0"/>
              <w:snapToGrid w:val="0"/>
              <w:jc w:val="center"/>
              <w:rPr>
                <w:rFonts w:ascii="宋体" w:hAnsi="宋体"/>
                <w:szCs w:val="21"/>
              </w:rPr>
            </w:pPr>
            <w:r>
              <w:rPr>
                <w:rFonts w:hint="eastAsia" w:ascii="宋体" w:hAnsi="宋体"/>
                <w:szCs w:val="21"/>
              </w:rPr>
              <w:t>资格评审标准</w:t>
            </w:r>
          </w:p>
        </w:tc>
        <w:tc>
          <w:tcPr>
            <w:tcW w:w="7197" w:type="dxa"/>
          </w:tcPr>
          <w:p>
            <w:pPr>
              <w:tabs>
                <w:tab w:val="left" w:pos="3060"/>
              </w:tabs>
              <w:spacing w:line="320" w:lineRule="exact"/>
              <w:rPr>
                <w:rFonts w:ascii="宋体" w:hAnsi="宋体"/>
                <w:szCs w:val="21"/>
              </w:rPr>
            </w:pPr>
            <w:r>
              <w:rPr>
                <w:rFonts w:hint="eastAsia" w:ascii="宋体" w:hAnsi="宋体"/>
                <w:szCs w:val="21"/>
              </w:rPr>
              <w:t>（1）投标人具备有效的营业执照或事业单位法人证书、组织机构代码证（三证合一或五证合一的除外）和基本账户开户许可证（或基本存款账户信息）；</w:t>
            </w:r>
          </w:p>
          <w:p>
            <w:pPr>
              <w:tabs>
                <w:tab w:val="left" w:pos="3060"/>
              </w:tabs>
              <w:spacing w:line="320" w:lineRule="exact"/>
              <w:rPr>
                <w:rFonts w:ascii="宋体" w:hAnsi="宋体"/>
                <w:szCs w:val="21"/>
              </w:rPr>
            </w:pPr>
            <w:r>
              <w:rPr>
                <w:rFonts w:hint="eastAsia" w:ascii="宋体" w:hAnsi="宋体"/>
                <w:szCs w:val="21"/>
              </w:rPr>
              <w:t>（2）投标人的资质等级符合招标文件规定；</w:t>
            </w:r>
          </w:p>
          <w:p>
            <w:pPr>
              <w:pStyle w:val="2"/>
              <w:rPr>
                <w:rFonts w:cs="宋体"/>
                <w:sz w:val="21"/>
                <w:szCs w:val="21"/>
              </w:rPr>
            </w:pPr>
            <w:r>
              <w:rPr>
                <w:rFonts w:hint="eastAsia"/>
                <w:szCs w:val="21"/>
              </w:rPr>
              <w:t>（</w:t>
            </w:r>
            <w:r>
              <w:rPr>
                <w:rFonts w:hint="eastAsia" w:cs="宋体"/>
                <w:sz w:val="21"/>
                <w:szCs w:val="21"/>
              </w:rPr>
              <w:t>3）投标人的类似项目业绩符合招标文件规定；</w:t>
            </w:r>
          </w:p>
          <w:p>
            <w:pPr>
              <w:tabs>
                <w:tab w:val="left" w:pos="3060"/>
              </w:tabs>
              <w:spacing w:line="320" w:lineRule="exact"/>
              <w:rPr>
                <w:rFonts w:ascii="宋体" w:hAnsi="宋体"/>
                <w:szCs w:val="21"/>
              </w:rPr>
            </w:pPr>
            <w:r>
              <w:rPr>
                <w:rFonts w:hint="eastAsia" w:ascii="宋体" w:hAnsi="宋体"/>
                <w:szCs w:val="21"/>
              </w:rPr>
              <w:t>（4）投标人的信誉符合招标文件规定；</w:t>
            </w:r>
          </w:p>
          <w:p>
            <w:pPr>
              <w:tabs>
                <w:tab w:val="left" w:pos="3060"/>
              </w:tabs>
              <w:spacing w:line="320" w:lineRule="exact"/>
              <w:rPr>
                <w:rFonts w:ascii="宋体" w:hAnsi="宋体"/>
                <w:szCs w:val="21"/>
              </w:rPr>
            </w:pPr>
            <w:r>
              <w:rPr>
                <w:rFonts w:hint="eastAsia" w:ascii="宋体" w:hAnsi="宋体"/>
                <w:szCs w:val="21"/>
              </w:rPr>
              <w:t xml:space="preserve">（5）投标人的主要人员资格符合招标文件规定； </w:t>
            </w:r>
          </w:p>
          <w:p>
            <w:pPr>
              <w:tabs>
                <w:tab w:val="left" w:pos="3060"/>
              </w:tabs>
              <w:spacing w:line="320" w:lineRule="exact"/>
              <w:rPr>
                <w:rFonts w:ascii="宋体" w:hAnsi="宋体"/>
                <w:szCs w:val="21"/>
              </w:rPr>
            </w:pPr>
            <w:r>
              <w:rPr>
                <w:rFonts w:hint="eastAsia" w:ascii="宋体" w:hAnsi="宋体"/>
                <w:szCs w:val="21"/>
              </w:rPr>
              <w:t>（6）投标人不存在第二章“投标人须知”第1.4.3项规定的任何一种情形。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317" w:type="dxa"/>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197" w:type="dxa"/>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rPr>
            </w:pPr>
            <w:r>
              <w:rPr>
                <w:rFonts w:hint="eastAsia" w:ascii="宋体" w:hAnsi="宋体"/>
              </w:rPr>
              <w:t>2.2.1</w:t>
            </w:r>
          </w:p>
        </w:tc>
        <w:tc>
          <w:tcPr>
            <w:tcW w:w="1317" w:type="dxa"/>
            <w:vAlign w:val="center"/>
          </w:tcPr>
          <w:p>
            <w:pPr>
              <w:adjustRightInd w:val="0"/>
              <w:snapToGrid w:val="0"/>
              <w:jc w:val="center"/>
              <w:rPr>
                <w:rFonts w:ascii="宋体" w:hAnsi="宋体"/>
              </w:rPr>
            </w:pPr>
            <w:r>
              <w:rPr>
                <w:rFonts w:hint="eastAsia" w:ascii="宋体" w:hAnsi="宋体"/>
              </w:rPr>
              <w:t>分值构成（总分100分）</w:t>
            </w:r>
          </w:p>
        </w:tc>
        <w:tc>
          <w:tcPr>
            <w:tcW w:w="7197" w:type="dxa"/>
            <w:vAlign w:val="center"/>
          </w:tcPr>
          <w:p>
            <w:pPr>
              <w:adjustRightInd w:val="0"/>
              <w:snapToGrid w:val="0"/>
              <w:rPr>
                <w:rFonts w:ascii="宋体" w:hAnsi="宋体"/>
                <w:b/>
              </w:rPr>
            </w:pPr>
            <w:r>
              <w:rPr>
                <w:rFonts w:hint="eastAsia" w:ascii="宋体" w:hAnsi="宋体"/>
                <w:b/>
              </w:rPr>
              <w:t>第一个信封（商务及技术文件）评分分值构成：</w:t>
            </w:r>
          </w:p>
          <w:p>
            <w:pPr>
              <w:adjustRightInd w:val="0"/>
              <w:snapToGrid w:val="0"/>
              <w:rPr>
                <w:rFonts w:ascii="宋体" w:hAnsi="宋体"/>
              </w:rPr>
            </w:pPr>
            <w:r>
              <w:rPr>
                <w:rFonts w:hint="eastAsia" w:ascii="宋体" w:hAnsi="宋体"/>
              </w:rPr>
              <w:t>技术建议书：45分</w:t>
            </w:r>
          </w:p>
          <w:p>
            <w:pPr>
              <w:adjustRightInd w:val="0"/>
              <w:snapToGrid w:val="0"/>
              <w:rPr>
                <w:rFonts w:ascii="宋体" w:hAnsi="宋体"/>
              </w:rPr>
            </w:pPr>
            <w:r>
              <w:rPr>
                <w:rFonts w:hint="eastAsia" w:ascii="宋体" w:hAnsi="宋体"/>
              </w:rPr>
              <w:t>主要人员：10分</w:t>
            </w:r>
          </w:p>
          <w:p>
            <w:pPr>
              <w:adjustRightInd w:val="0"/>
              <w:snapToGrid w:val="0"/>
              <w:rPr>
                <w:rFonts w:ascii="宋体" w:hAnsi="宋体"/>
              </w:rPr>
            </w:pPr>
            <w:r>
              <w:rPr>
                <w:rFonts w:hint="eastAsia" w:ascii="宋体" w:hAnsi="宋体"/>
              </w:rPr>
              <w:t>其    它：15分</w:t>
            </w:r>
          </w:p>
          <w:p>
            <w:pPr>
              <w:adjustRightInd w:val="0"/>
              <w:snapToGrid w:val="0"/>
              <w:rPr>
                <w:rFonts w:ascii="宋体" w:hAnsi="宋体"/>
              </w:rPr>
            </w:pPr>
          </w:p>
          <w:p>
            <w:pPr>
              <w:adjustRightInd w:val="0"/>
              <w:snapToGrid w:val="0"/>
              <w:rPr>
                <w:rFonts w:ascii="宋体" w:hAnsi="宋体"/>
                <w:b/>
              </w:rPr>
            </w:pPr>
            <w:r>
              <w:rPr>
                <w:rFonts w:hint="eastAsia" w:ascii="宋体" w:hAnsi="宋体"/>
                <w:b/>
              </w:rPr>
              <w:t>第二个信封（报价文件）评分分值构成：</w:t>
            </w:r>
          </w:p>
          <w:p>
            <w:pPr>
              <w:adjustRightInd w:val="0"/>
              <w:snapToGrid w:val="0"/>
              <w:rPr>
                <w:rFonts w:ascii="宋体" w:hAnsi="宋体"/>
              </w:rPr>
            </w:pPr>
            <w:r>
              <w:rPr>
                <w:rFonts w:hint="eastAsia" w:ascii="宋体" w:hAnsi="宋体"/>
              </w:rPr>
              <w:t>评 标 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2.2.2</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szCs w:val="21"/>
              </w:rPr>
              <w:t>评标基准价计算方法</w:t>
            </w:r>
          </w:p>
        </w:tc>
        <w:tc>
          <w:tcPr>
            <w:tcW w:w="7197" w:type="dxa"/>
            <w:vAlign w:val="center"/>
          </w:tcPr>
          <w:p>
            <w:pPr>
              <w:pStyle w:val="16"/>
              <w:spacing w:line="300" w:lineRule="exact"/>
              <w:ind w:firstLine="0" w:firstLineChars="0"/>
              <w:rPr>
                <w:rFonts w:ascii="Times New Roman" w:hAnsi="Times New Roman"/>
                <w:sz w:val="21"/>
              </w:rPr>
            </w:pPr>
            <w:r>
              <w:rPr>
                <w:rFonts w:hint="eastAsia" w:ascii="Times New Roman" w:hAnsi="Times New Roman"/>
                <w:sz w:val="21"/>
              </w:rPr>
              <w:t>评标基准价的计算：</w:t>
            </w:r>
          </w:p>
          <w:p>
            <w:pPr>
              <w:pStyle w:val="16"/>
              <w:spacing w:line="300" w:lineRule="exact"/>
              <w:ind w:firstLine="0" w:firstLineChars="0"/>
              <w:rPr>
                <w:rFonts w:ascii="Times New Roman" w:hAnsi="Times New Roman"/>
                <w:sz w:val="21"/>
              </w:rPr>
            </w:pPr>
            <w:r>
              <w:rPr>
                <w:rFonts w:hint="eastAsia" w:ascii="Times New Roman" w:hAnsi="Times New Roman"/>
                <w:sz w:val="21"/>
              </w:rPr>
              <w:t xml:space="preserve">    开标现场，招标人将当场计算并宣布评标基准价。</w:t>
            </w:r>
          </w:p>
          <w:p>
            <w:pPr>
              <w:pStyle w:val="16"/>
              <w:spacing w:line="300" w:lineRule="exact"/>
              <w:rPr>
                <w:rFonts w:ascii="Times New Roman" w:hAnsi="Times New Roman"/>
                <w:sz w:val="21"/>
              </w:rPr>
            </w:pPr>
            <w:r>
              <w:rPr>
                <w:rFonts w:hint="eastAsia" w:ascii="Times New Roman" w:hAnsi="Times New Roman"/>
                <w:sz w:val="21"/>
              </w:rPr>
              <w:t>1、评标价的确定：</w:t>
            </w:r>
          </w:p>
          <w:p>
            <w:pPr>
              <w:pStyle w:val="16"/>
              <w:spacing w:line="300" w:lineRule="exact"/>
              <w:rPr>
                <w:rFonts w:ascii="Times New Roman" w:hAnsi="Times New Roman"/>
                <w:sz w:val="21"/>
              </w:rPr>
            </w:pPr>
            <w:r>
              <w:rPr>
                <w:rFonts w:hint="eastAsia" w:ascii="Times New Roman" w:hAnsi="Times New Roman"/>
                <w:sz w:val="21"/>
              </w:rPr>
              <w:t>评标价=投标函文字报价</w:t>
            </w:r>
          </w:p>
          <w:p>
            <w:pPr>
              <w:pStyle w:val="16"/>
              <w:spacing w:line="300" w:lineRule="exact"/>
              <w:rPr>
                <w:rFonts w:ascii="Times New Roman" w:hAnsi="Times New Roman"/>
                <w:sz w:val="21"/>
              </w:rPr>
            </w:pPr>
            <w:r>
              <w:rPr>
                <w:rFonts w:hint="eastAsia" w:ascii="Times New Roman" w:hAnsi="Times New Roman"/>
                <w:sz w:val="21"/>
              </w:rPr>
              <w:t>2、评标价平均值的计算：</w:t>
            </w:r>
          </w:p>
          <w:p>
            <w:pPr>
              <w:pStyle w:val="16"/>
              <w:spacing w:line="300" w:lineRule="exact"/>
              <w:rPr>
                <w:rFonts w:ascii="Times New Roman" w:hAnsi="Times New Roman"/>
                <w:sz w:val="21"/>
              </w:rPr>
            </w:pPr>
            <w:r>
              <w:rPr>
                <w:rFonts w:hint="eastAsia" w:ascii="Times New Roman" w:hAnsi="Times New Roman"/>
                <w:sz w:val="21"/>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6"/>
              <w:spacing w:line="300" w:lineRule="exact"/>
              <w:rPr>
                <w:rFonts w:ascii="Times New Roman" w:hAnsi="Times New Roman"/>
                <w:sz w:val="21"/>
              </w:rPr>
            </w:pPr>
            <w:r>
              <w:rPr>
                <w:rFonts w:hint="eastAsia" w:ascii="Times New Roman" w:hAnsi="Times New Roman"/>
                <w:sz w:val="21"/>
              </w:rPr>
              <w:t xml:space="preserve">3、评标基准价的确定： </w:t>
            </w:r>
          </w:p>
          <w:p>
            <w:pPr>
              <w:pStyle w:val="16"/>
              <w:spacing w:line="300" w:lineRule="exact"/>
              <w:rPr>
                <w:rFonts w:ascii="Times New Roman" w:hAnsi="Times New Roman"/>
                <w:sz w:val="21"/>
              </w:rPr>
            </w:pPr>
            <w:r>
              <w:rPr>
                <w:rFonts w:hint="eastAsia" w:ascii="Times New Roman" w:hAnsi="Times New Roman"/>
                <w:sz w:val="21"/>
              </w:rPr>
              <w:t xml:space="preserve">评标价平均值直接作为评标基准价。 </w:t>
            </w:r>
          </w:p>
          <w:p>
            <w:pPr>
              <w:pStyle w:val="16"/>
              <w:spacing w:line="300" w:lineRule="exact"/>
              <w:rPr>
                <w:rFonts w:ascii="Times New Roman" w:hAnsi="Times New Roman"/>
                <w:sz w:val="21"/>
              </w:rPr>
            </w:pPr>
            <w:r>
              <w:rPr>
                <w:rFonts w:hint="eastAsia" w:ascii="Times New Roman" w:hAnsi="Times New Roman"/>
                <w:sz w:val="21"/>
              </w:rPr>
              <w:t>评标基准价保留小数点后两位，小数点后第三位四舍五入。</w:t>
            </w:r>
          </w:p>
          <w:p>
            <w:pPr>
              <w:adjustRightInd w:val="0"/>
              <w:snapToGrid w:val="0"/>
              <w:spacing w:line="320" w:lineRule="exact"/>
              <w:ind w:firstLine="420" w:firstLineChars="200"/>
              <w:rPr>
                <w:rFonts w:ascii="宋体" w:hAnsi="宋体"/>
                <w:szCs w:val="21"/>
              </w:rPr>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2.2.3</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szCs w:val="21"/>
              </w:rPr>
              <w:t>评标价的偏差率计算公式</w:t>
            </w:r>
          </w:p>
        </w:tc>
        <w:tc>
          <w:tcPr>
            <w:tcW w:w="7197" w:type="dxa"/>
            <w:vAlign w:val="center"/>
          </w:tcPr>
          <w:p>
            <w:pPr>
              <w:adjustRightInd w:val="0"/>
              <w:snapToGrid w:val="0"/>
              <w:spacing w:line="300" w:lineRule="exact"/>
              <w:rPr>
                <w:rFonts w:ascii="宋体" w:hAnsi="宋体"/>
                <w:szCs w:val="21"/>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3.6.1</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cs="宋体"/>
                <w:szCs w:val="21"/>
              </w:rPr>
              <w:t>信息查询</w:t>
            </w:r>
          </w:p>
        </w:tc>
        <w:tc>
          <w:tcPr>
            <w:tcW w:w="7197" w:type="dxa"/>
            <w:vAlign w:val="center"/>
          </w:tcPr>
          <w:p>
            <w:pPr>
              <w:adjustRightInd w:val="0"/>
              <w:snapToGrid w:val="0"/>
              <w:spacing w:line="320" w:lineRule="exact"/>
              <w:rPr>
                <w:rFonts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ascii="宋体" w:hAnsi="宋体" w:cs="宋体"/>
                <w:szCs w:val="21"/>
              </w:rPr>
            </w:pPr>
            <w:r>
              <w:rPr>
                <w:rFonts w:hint="eastAsia" w:ascii="宋体" w:hAnsi="宋体" w:cs="宋体"/>
                <w:szCs w:val="21"/>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情形的（均不含分公司），评标委员会应否决其投标。</w:t>
            </w:r>
          </w:p>
          <w:p>
            <w:pPr>
              <w:snapToGrid w:val="0"/>
              <w:spacing w:line="320" w:lineRule="exact"/>
              <w:ind w:firstLine="420" w:firstLineChars="200"/>
              <w:rPr>
                <w:rFonts w:ascii="宋体" w:hAnsi="宋体"/>
              </w:rPr>
            </w:pPr>
            <w:r>
              <w:rPr>
                <w:rFonts w:hint="eastAsia" w:ascii="宋体" w:hAnsi="宋体" w:cs="宋体"/>
                <w:szCs w:val="21"/>
              </w:rPr>
              <w:t>如投标人未提供相关网页截图或所附截图与核查结果不一致，评标委员会应否决其投标。</w:t>
            </w:r>
          </w:p>
        </w:tc>
      </w:tr>
    </w:tbl>
    <w:p>
      <w:pPr>
        <w:snapToGrid w:val="0"/>
        <w:spacing w:line="360" w:lineRule="auto"/>
        <w:jc w:val="left"/>
      </w:pPr>
    </w:p>
    <w:p>
      <w:pPr>
        <w:snapToGrid w:val="0"/>
        <w:spacing w:line="360" w:lineRule="auto"/>
        <w:jc w:val="left"/>
      </w:pPr>
      <w:r>
        <w:br w:type="page"/>
      </w:r>
    </w:p>
    <w:tbl>
      <w:tblPr>
        <w:tblStyle w:val="17"/>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312"/>
        <w:gridCol w:w="290"/>
        <w:gridCol w:w="567"/>
        <w:gridCol w:w="1340"/>
        <w:gridCol w:w="928"/>
        <w:gridCol w:w="55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条款号</w:t>
            </w:r>
          </w:p>
        </w:tc>
        <w:tc>
          <w:tcPr>
            <w:tcW w:w="602" w:type="dxa"/>
            <w:gridSpan w:val="2"/>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评审因素</w:t>
            </w:r>
          </w:p>
        </w:tc>
        <w:tc>
          <w:tcPr>
            <w:tcW w:w="567" w:type="dxa"/>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评分因素权重分值</w:t>
            </w:r>
          </w:p>
        </w:tc>
        <w:tc>
          <w:tcPr>
            <w:tcW w:w="1340" w:type="dxa"/>
            <w:tcBorders>
              <w:righ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各评分因素细分项</w:t>
            </w:r>
          </w:p>
        </w:tc>
        <w:tc>
          <w:tcPr>
            <w:tcW w:w="928" w:type="dxa"/>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ascii="宋体" w:hAnsi="宋体" w:cs="宋体"/>
                <w:b/>
                <w:kern w:val="0"/>
                <w:szCs w:val="21"/>
              </w:rPr>
              <w:t>分值</w:t>
            </w:r>
          </w:p>
        </w:tc>
        <w:tc>
          <w:tcPr>
            <w:tcW w:w="5507" w:type="dxa"/>
            <w:tcBorders>
              <w:lef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2.2.4（1）</w:t>
            </w:r>
          </w:p>
        </w:tc>
        <w:tc>
          <w:tcPr>
            <w:tcW w:w="602" w:type="dxa"/>
            <w:gridSpan w:val="2"/>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技术建议书</w:t>
            </w:r>
          </w:p>
        </w:tc>
        <w:tc>
          <w:tcPr>
            <w:tcW w:w="567" w:type="dxa"/>
            <w:vMerge w:val="restart"/>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45分</w:t>
            </w:r>
          </w:p>
        </w:tc>
        <w:tc>
          <w:tcPr>
            <w:tcW w:w="1340" w:type="dxa"/>
            <w:vMerge w:val="restart"/>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技术方案</w:t>
            </w:r>
          </w:p>
        </w:tc>
        <w:tc>
          <w:tcPr>
            <w:tcW w:w="928" w:type="dxa"/>
            <w:vMerge w:val="restart"/>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szCs w:val="21"/>
              </w:rPr>
              <w:t>10分</w:t>
            </w:r>
          </w:p>
        </w:tc>
        <w:tc>
          <w:tcPr>
            <w:tcW w:w="5507" w:type="dxa"/>
            <w:tcBorders>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方案科学合理8-10分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pStyle w:val="14"/>
              <w:snapToGrid w:val="0"/>
              <w:spacing w:line="320" w:lineRule="exact"/>
              <w:jc w:val="left"/>
              <w:rPr>
                <w:rFonts w:hAnsi="宋体"/>
              </w:rPr>
            </w:pPr>
          </w:p>
        </w:tc>
        <w:tc>
          <w:tcPr>
            <w:tcW w:w="928" w:type="dxa"/>
            <w:vMerge w:val="continue"/>
            <w:tcBorders>
              <w:left w:val="single" w:color="auto" w:sz="4" w:space="0"/>
              <w:right w:val="single" w:color="auto" w:sz="4" w:space="0"/>
            </w:tcBorders>
            <w:vAlign w:val="center"/>
          </w:tcPr>
          <w:p>
            <w:pPr>
              <w:pStyle w:val="14"/>
              <w:snapToGrid w:val="0"/>
              <w:spacing w:line="320" w:lineRule="exact"/>
              <w:rPr>
                <w:rFonts w:hAnsi="宋体" w:cs="宋体"/>
                <w:kern w:val="0"/>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方案合理可行6-8分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pStyle w:val="14"/>
              <w:snapToGrid w:val="0"/>
              <w:spacing w:line="320" w:lineRule="exact"/>
              <w:jc w:val="left"/>
              <w:rPr>
                <w:rFonts w:hAnsi="宋体"/>
              </w:rPr>
            </w:pPr>
          </w:p>
        </w:tc>
        <w:tc>
          <w:tcPr>
            <w:tcW w:w="928" w:type="dxa"/>
            <w:vMerge w:val="continue"/>
            <w:tcBorders>
              <w:left w:val="single" w:color="auto" w:sz="4" w:space="0"/>
              <w:bottom w:val="single" w:color="auto" w:sz="4" w:space="0"/>
              <w:right w:val="single" w:color="auto" w:sz="4" w:space="0"/>
            </w:tcBorders>
            <w:vAlign w:val="center"/>
          </w:tcPr>
          <w:p>
            <w:pPr>
              <w:pStyle w:val="14"/>
              <w:snapToGrid w:val="0"/>
              <w:spacing w:line="320" w:lineRule="exact"/>
              <w:rPr>
                <w:rFonts w:hAnsi="宋体" w:cs="宋体"/>
                <w:kern w:val="0"/>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snapToGrid w:val="0"/>
              <w:spacing w:line="320" w:lineRule="exact"/>
              <w:jc w:val="center"/>
              <w:rPr>
                <w:szCs w:val="21"/>
              </w:rPr>
            </w:pPr>
            <w:r>
              <w:rPr>
                <w:rFonts w:hint="eastAsia"/>
                <w:szCs w:val="21"/>
              </w:rPr>
              <w:t>项目管理和实施方案</w:t>
            </w:r>
          </w:p>
          <w:p>
            <w:pPr>
              <w:snapToGrid w:val="0"/>
              <w:spacing w:line="320" w:lineRule="exact"/>
              <w:jc w:val="center"/>
              <w:rPr>
                <w:rFonts w:hAnsi="宋体"/>
                <w:bCs/>
                <w:iCs/>
                <w:szCs w:val="21"/>
              </w:rPr>
            </w:pPr>
            <w:r>
              <w:rPr>
                <w:rFonts w:hint="eastAsia" w:ascii="宋体" w:hAnsi="宋体" w:cs="宋体"/>
                <w:szCs w:val="21"/>
              </w:rPr>
              <w:t>(25分)</w:t>
            </w: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拟解决的关键问题</w:t>
            </w:r>
          </w:p>
          <w:p>
            <w:pPr>
              <w:widowControl/>
              <w:snapToGrid w:val="0"/>
              <w:spacing w:line="320" w:lineRule="exact"/>
              <w:jc w:val="center"/>
              <w:textAlignment w:val="top"/>
              <w:rPr>
                <w:rFonts w:hAnsi="宋体" w:cs="宋体"/>
                <w:bCs/>
                <w:iCs/>
                <w:kern w:val="0"/>
                <w:szCs w:val="21"/>
              </w:rPr>
            </w:pP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把握准确、描述具体清楚4-5分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bCs/>
                <w:iCs/>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bCs/>
                <w:iCs/>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bCs/>
                <w:iCs/>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bCs/>
                <w:iCs/>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把握基本准确、描述基本清楚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主要研究内容</w:t>
            </w:r>
          </w:p>
          <w:p>
            <w:pPr>
              <w:widowControl/>
              <w:snapToGrid w:val="0"/>
              <w:spacing w:line="320" w:lineRule="exact"/>
              <w:jc w:val="center"/>
              <w:textAlignment w:val="top"/>
              <w:rPr>
                <w:rFonts w:hAnsi="宋体" w:cs="宋体"/>
                <w:kern w:val="0"/>
                <w:szCs w:val="21"/>
              </w:rPr>
            </w:pPr>
            <w:r>
              <w:rPr>
                <w:rFonts w:hint="eastAsia" w:ascii="宋体" w:hAnsi="宋体" w:cs="宋体"/>
                <w:kern w:val="0"/>
                <w:szCs w:val="21"/>
              </w:rPr>
              <w:t>（10分）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把握准确、描述具体清楚 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把握较准确、描述清楚 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把握基本准确、描述基本清楚 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拟采用的技术路线</w:t>
            </w:r>
          </w:p>
          <w:p>
            <w:pPr>
              <w:widowControl/>
              <w:snapToGrid w:val="0"/>
              <w:spacing w:line="320" w:lineRule="exact"/>
              <w:jc w:val="center"/>
              <w:textAlignment w:val="top"/>
              <w:rPr>
                <w:rFonts w:hAnsi="宋体" w:cs="宋体"/>
                <w:kern w:val="0"/>
                <w:szCs w:val="21"/>
              </w:rPr>
            </w:pP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snapToGrid w:val="0"/>
              <w:spacing w:line="320" w:lineRule="exact"/>
              <w:jc w:val="center"/>
              <w:rPr>
                <w:rFonts w:ascii="宋体" w:hAnsi="宋体" w:cs="宋体"/>
                <w:kern w:val="0"/>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本项目创新点</w:t>
            </w:r>
          </w:p>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创新点明确并达到国内领先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snapToGrid w:val="0"/>
              <w:spacing w:line="320" w:lineRule="exact"/>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tcPr>
          <w:p>
            <w:pPr>
              <w:widowControl/>
              <w:snapToGrid w:val="0"/>
              <w:spacing w:line="320" w:lineRule="exact"/>
              <w:jc w:val="center"/>
              <w:textAlignment w:val="top"/>
              <w:rPr>
                <w:rFonts w:ascii="宋体"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创新点较为明确并比较先进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autoSpaceDE w:val="0"/>
              <w:autoSpaceDN w:val="0"/>
              <w:adjustRightInd w:val="0"/>
              <w:snapToGrid w:val="0"/>
              <w:spacing w:line="320" w:lineRule="exact"/>
              <w:ind w:left="37" w:right="17"/>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tcPr>
          <w:p>
            <w:pPr>
              <w:widowControl/>
              <w:snapToGrid w:val="0"/>
              <w:spacing w:line="320" w:lineRule="exact"/>
              <w:jc w:val="center"/>
              <w:textAlignment w:val="top"/>
              <w:rPr>
                <w:rFonts w:ascii="宋体"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创新点不太明确或先进水平不够3分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经济效益分析</w:t>
            </w:r>
          </w:p>
        </w:tc>
        <w:tc>
          <w:tcPr>
            <w:tcW w:w="928" w:type="dxa"/>
            <w:vMerge w:val="restart"/>
            <w:tcBorders>
              <w:top w:val="single" w:color="auto" w:sz="4" w:space="0"/>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spacing w:val="-12"/>
                <w:szCs w:val="21"/>
              </w:rPr>
              <w:t>5分</w:t>
            </w: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szCs w:val="21"/>
              </w:rPr>
            </w:pPr>
            <w:r>
              <w:rPr>
                <w:rFonts w:hint="eastAsia"/>
                <w:szCs w:val="21"/>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 xml:space="preserve">项目研究质量与进度保障措施 </w:t>
            </w:r>
          </w:p>
        </w:tc>
        <w:tc>
          <w:tcPr>
            <w:tcW w:w="928" w:type="dxa"/>
            <w:vMerge w:val="restart"/>
            <w:tcBorders>
              <w:top w:val="single" w:color="auto" w:sz="4" w:space="0"/>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szCs w:val="21"/>
              </w:rPr>
              <w:t>5分</w:t>
            </w: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3"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2.2.4（2）</w:t>
            </w:r>
          </w:p>
        </w:tc>
        <w:tc>
          <w:tcPr>
            <w:tcW w:w="602" w:type="dxa"/>
            <w:gridSpan w:val="2"/>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主要人员</w:t>
            </w:r>
          </w:p>
        </w:tc>
        <w:tc>
          <w:tcPr>
            <w:tcW w:w="567" w:type="dxa"/>
            <w:vMerge w:val="restart"/>
            <w:vAlign w:val="center"/>
          </w:tcPr>
          <w:p>
            <w:pPr>
              <w:autoSpaceDE w:val="0"/>
              <w:autoSpaceDN w:val="0"/>
              <w:snapToGrid w:val="0"/>
              <w:spacing w:line="320" w:lineRule="exact"/>
              <w:jc w:val="center"/>
              <w:rPr>
                <w:rFonts w:ascii="宋体" w:hAnsi="宋体" w:cs="宋体"/>
                <w:kern w:val="0"/>
                <w:szCs w:val="21"/>
              </w:rPr>
            </w:pPr>
          </w:p>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10分</w:t>
            </w:r>
          </w:p>
          <w:p>
            <w:pPr>
              <w:autoSpaceDE w:val="0"/>
              <w:autoSpaceDN w:val="0"/>
              <w:snapToGrid w:val="0"/>
              <w:spacing w:line="320" w:lineRule="exact"/>
              <w:jc w:val="center"/>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r>
              <w:rPr>
                <w:rFonts w:hint="eastAsia"/>
                <w:szCs w:val="21"/>
              </w:rPr>
              <w:t>项目团队</w:t>
            </w:r>
          </w:p>
        </w:tc>
        <w:tc>
          <w:tcPr>
            <w:tcW w:w="928" w:type="dxa"/>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szCs w:val="21"/>
              </w:rPr>
            </w:pPr>
            <w:r>
              <w:rPr>
                <w:rFonts w:hint="eastAsia" w:ascii="宋体" w:hAnsi="宋体"/>
                <w:szCs w:val="21"/>
              </w:rPr>
              <w:t>10分</w:t>
            </w:r>
          </w:p>
        </w:tc>
        <w:tc>
          <w:tcPr>
            <w:tcW w:w="5507" w:type="dxa"/>
            <w:tcBorders>
              <w:top w:val="single" w:color="auto" w:sz="4" w:space="0"/>
              <w:left w:val="single" w:color="auto" w:sz="4" w:space="0"/>
              <w:bottom w:val="single" w:color="auto" w:sz="4" w:space="0"/>
            </w:tcBorders>
            <w:vAlign w:val="center"/>
          </w:tcPr>
          <w:p>
            <w:pPr>
              <w:pStyle w:val="14"/>
              <w:snapToGrid w:val="0"/>
              <w:spacing w:line="320" w:lineRule="exact"/>
              <w:rPr>
                <w:rFonts w:hAnsi="宋体"/>
              </w:rPr>
            </w:pPr>
            <w:r>
              <w:rPr>
                <w:rFonts w:hint="eastAsia"/>
              </w:rPr>
              <w:t>项目负责人和技术负责人满足投标人须知附录4资格审查条件（主要人员最低要求）</w:t>
            </w:r>
            <w:r>
              <w:t>得</w:t>
            </w:r>
            <w:r>
              <w:rPr>
                <w:rFonts w:hint="eastAsia"/>
              </w:rPr>
              <w:t>6</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1"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jc w:val="center"/>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szCs w:val="21"/>
              </w:rPr>
            </w:pPr>
          </w:p>
        </w:tc>
        <w:tc>
          <w:tcPr>
            <w:tcW w:w="928" w:type="dxa"/>
            <w:vMerge w:val="continue"/>
            <w:tcBorders>
              <w:left w:val="single" w:color="auto" w:sz="4" w:space="0"/>
              <w:right w:val="single" w:color="auto" w:sz="4" w:space="0"/>
            </w:tcBorders>
            <w:vAlign w:val="center"/>
          </w:tcPr>
          <w:p>
            <w:pPr>
              <w:snapToGrid w:val="0"/>
              <w:spacing w:line="320" w:lineRule="exact"/>
              <w:jc w:val="center"/>
              <w:rPr>
                <w:rFonts w:ascii="宋体" w:hAnsi="宋体"/>
                <w:szCs w:val="21"/>
              </w:rPr>
            </w:pPr>
          </w:p>
        </w:tc>
        <w:tc>
          <w:tcPr>
            <w:tcW w:w="5507" w:type="dxa"/>
            <w:tcBorders>
              <w:top w:val="single" w:color="auto" w:sz="4" w:space="0"/>
              <w:left w:val="single" w:color="auto" w:sz="4" w:space="0"/>
            </w:tcBorders>
            <w:vAlign w:val="center"/>
          </w:tcPr>
          <w:p>
            <w:pPr>
              <w:pStyle w:val="14"/>
              <w:snapToGrid w:val="0"/>
              <w:spacing w:line="320" w:lineRule="exact"/>
              <w:rPr>
                <w:rFonts w:hAnsi="宋体"/>
              </w:rPr>
            </w:pPr>
            <w:r>
              <w:rPr>
                <w:rFonts w:hint="eastAsia" w:hAnsi="宋体"/>
              </w:rPr>
              <w:t>项目团队中每有一名</w:t>
            </w:r>
            <w:r>
              <w:rPr>
                <w:rFonts w:hint="eastAsia"/>
              </w:rPr>
              <w:t>正</w:t>
            </w:r>
            <w:r>
              <w:t>高级（含）以上职称</w:t>
            </w:r>
            <w:r>
              <w:rPr>
                <w:rFonts w:hint="eastAsia"/>
              </w:rPr>
              <w:t>或博士学位的人员得1分，本项最多得4分。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2.2.4（3）</w:t>
            </w:r>
          </w:p>
        </w:tc>
        <w:tc>
          <w:tcPr>
            <w:tcW w:w="602" w:type="dxa"/>
            <w:gridSpan w:val="2"/>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评标价</w:t>
            </w:r>
          </w:p>
        </w:tc>
        <w:tc>
          <w:tcPr>
            <w:tcW w:w="567" w:type="dxa"/>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30分</w:t>
            </w:r>
          </w:p>
        </w:tc>
        <w:tc>
          <w:tcPr>
            <w:tcW w:w="7775" w:type="dxa"/>
            <w:gridSpan w:val="3"/>
            <w:tcBorders>
              <w:top w:val="single" w:color="auto" w:sz="4" w:space="0"/>
            </w:tcBorders>
            <w:vAlign w:val="center"/>
          </w:tcPr>
          <w:p>
            <w:pPr>
              <w:snapToGrid w:val="0"/>
              <w:spacing w:line="320" w:lineRule="exact"/>
              <w:rPr>
                <w:szCs w:val="21"/>
              </w:rPr>
            </w:pPr>
            <w:r>
              <w:rPr>
                <w:rFonts w:hint="eastAsia"/>
                <w:szCs w:val="21"/>
              </w:rPr>
              <w:t>评标价得分计算公式示例：</w:t>
            </w:r>
          </w:p>
          <w:p>
            <w:pPr>
              <w:snapToGrid w:val="0"/>
              <w:spacing w:line="320" w:lineRule="exact"/>
              <w:rPr>
                <w:szCs w:val="21"/>
              </w:rPr>
            </w:pPr>
            <w:r>
              <w:rPr>
                <w:rFonts w:hint="eastAsia"/>
                <w:szCs w:val="21"/>
              </w:rPr>
              <w:t>（1）如果投标人的评标价＞评标基准价，则评标价得分=F-（投标人投标价-评标基准价）/评标基准价×100×E1</w:t>
            </w:r>
          </w:p>
          <w:p>
            <w:pPr>
              <w:snapToGrid w:val="0"/>
              <w:spacing w:line="320" w:lineRule="exact"/>
              <w:rPr>
                <w:szCs w:val="21"/>
              </w:rPr>
            </w:pPr>
            <w:r>
              <w:rPr>
                <w:rFonts w:hint="eastAsia"/>
                <w:szCs w:val="21"/>
              </w:rPr>
              <w:t>（2）如果投标人的评标价≤评标基准价，则评标价得分=F+(投标人投标价-评标基准价)/评标基准价×100×E2</w:t>
            </w:r>
          </w:p>
          <w:p>
            <w:pPr>
              <w:snapToGrid w:val="0"/>
              <w:spacing w:line="320" w:lineRule="exact"/>
              <w:rPr>
                <w:szCs w:val="21"/>
              </w:rPr>
            </w:pPr>
            <w:r>
              <w:rPr>
                <w:rFonts w:hint="eastAsia"/>
                <w:szCs w:val="21"/>
              </w:rPr>
              <w:t>其中，F=30；E1=0.6；E2=0.3；评标价最低得分为0分</w:t>
            </w:r>
          </w:p>
          <w:p>
            <w:pPr>
              <w:pStyle w:val="2"/>
              <w:snapToGrid w:val="0"/>
              <w:spacing w:line="320" w:lineRule="exact"/>
              <w:rPr>
                <w:sz w:val="21"/>
                <w:szCs w:val="21"/>
              </w:rPr>
            </w:pPr>
            <w:r>
              <w:rPr>
                <w:rFonts w:hint="eastAsia"/>
                <w:sz w:val="21"/>
                <w:szCs w:val="21"/>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0"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2.2.4（4）</w:t>
            </w:r>
          </w:p>
        </w:tc>
        <w:tc>
          <w:tcPr>
            <w:tcW w:w="312" w:type="dxa"/>
            <w:vMerge w:val="restart"/>
            <w:tcBorders>
              <w:right w:val="single" w:color="auto" w:sz="4" w:space="0"/>
            </w:tcBorders>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其</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他</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因</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素</w:t>
            </w:r>
          </w:p>
        </w:tc>
        <w:tc>
          <w:tcPr>
            <w:tcW w:w="290" w:type="dxa"/>
            <w:vMerge w:val="restart"/>
            <w:tcBorders>
              <w:left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宋体" w:cs="宋体"/>
                <w:szCs w:val="21"/>
              </w:rPr>
            </w:pPr>
            <w:r>
              <w:rPr>
                <w:rFonts w:hint="eastAsia" w:ascii="宋体" w:hAnsi="宋体" w:cs="宋体"/>
                <w:szCs w:val="21"/>
              </w:rPr>
              <w:t>投标人业绩</w:t>
            </w:r>
          </w:p>
          <w:p>
            <w:pPr>
              <w:widowControl/>
              <w:snapToGrid w:val="0"/>
              <w:spacing w:line="320" w:lineRule="exact"/>
              <w:jc w:val="left"/>
              <w:rPr>
                <w:rFonts w:ascii="宋体" w:hAnsi="宋体" w:cs="宋体"/>
                <w:kern w:val="0"/>
                <w:szCs w:val="21"/>
              </w:rPr>
            </w:pPr>
          </w:p>
        </w:tc>
        <w:tc>
          <w:tcPr>
            <w:tcW w:w="567" w:type="dxa"/>
            <w:vMerge w:val="restart"/>
            <w:tcBorders>
              <w:lef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10分</w:t>
            </w: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r>
              <w:rPr>
                <w:rFonts w:hint="eastAsia" w:ascii="宋体" w:hAnsi="宋体" w:cs="宋体"/>
                <w:szCs w:val="21"/>
              </w:rPr>
              <w:t>投标人业绩</w:t>
            </w:r>
          </w:p>
        </w:tc>
        <w:tc>
          <w:tcPr>
            <w:tcW w:w="928" w:type="dxa"/>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szCs w:val="21"/>
              </w:rPr>
            </w:pPr>
            <w:r>
              <w:rPr>
                <w:rFonts w:hint="eastAsia" w:ascii="宋体" w:hAnsi="宋体"/>
                <w:szCs w:val="21"/>
              </w:rPr>
              <w:t>10分</w:t>
            </w: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rPr>
                <w:rFonts w:hint="eastAsia"/>
              </w:rPr>
              <w:t>满足投标人须知附录2资格审查条件（业绩最低条件）</w:t>
            </w:r>
            <w:r>
              <w:t>得</w:t>
            </w:r>
            <w:r>
              <w:rPr>
                <w:rFonts w:hint="eastAsia"/>
              </w:rPr>
              <w:t>6</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8"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vMerge w:val="continue"/>
            <w:tcBorders>
              <w:left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567" w:type="dxa"/>
            <w:vMerge w:val="continue"/>
            <w:tcBorders>
              <w:left w:val="single" w:color="auto" w:sz="4" w:space="0"/>
            </w:tcBorders>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pStyle w:val="14"/>
              <w:snapToGrid w:val="0"/>
              <w:spacing w:line="320" w:lineRule="exact"/>
              <w:jc w:val="center"/>
              <w:rPr>
                <w:rFonts w:hAnsi="宋体"/>
              </w:rPr>
            </w:pP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t>投标人近</w:t>
            </w:r>
            <w:r>
              <w:rPr>
                <w:rFonts w:hint="eastAsia"/>
              </w:rPr>
              <w:t>8</w:t>
            </w:r>
            <w:r>
              <w:t>年（</w:t>
            </w:r>
            <w:r>
              <w:rPr>
                <w:rFonts w:hint="eastAsia"/>
                <w:szCs w:val="21"/>
              </w:rPr>
              <w:t>2014年7月1日至今，以发布时间为准</w:t>
            </w:r>
            <w:r>
              <w:t>）</w:t>
            </w:r>
            <w:r>
              <w:rPr>
                <w:rFonts w:hint="eastAsia"/>
              </w:rPr>
              <w:t>每</w:t>
            </w:r>
            <w:r>
              <w:t>牵头编写</w:t>
            </w:r>
            <w:r>
              <w:rPr>
                <w:rFonts w:hint="eastAsia"/>
              </w:rPr>
              <w:t>过一项</w:t>
            </w:r>
            <w:r>
              <w:t>相关规范</w:t>
            </w:r>
            <w:r>
              <w:rPr>
                <w:rFonts w:hint="eastAsia"/>
              </w:rPr>
              <w:t>或标准得2分，本项</w:t>
            </w:r>
            <w:r>
              <w:t>最高</w:t>
            </w:r>
            <w:r>
              <w:rPr>
                <w:rFonts w:hint="eastAsia"/>
              </w:rPr>
              <w:t>得2</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vMerge w:val="continue"/>
            <w:tcBorders>
              <w:left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567" w:type="dxa"/>
            <w:vMerge w:val="continue"/>
            <w:tcBorders>
              <w:left w:val="single" w:color="auto" w:sz="4" w:space="0"/>
            </w:tcBorders>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pStyle w:val="14"/>
              <w:snapToGrid w:val="0"/>
              <w:spacing w:line="320" w:lineRule="exact"/>
              <w:jc w:val="center"/>
              <w:rPr>
                <w:rFonts w:hAnsi="宋体"/>
              </w:rPr>
            </w:pP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rPr>
                <w:rFonts w:hint="eastAsia"/>
              </w:rPr>
              <w:t>投标人近8年</w:t>
            </w:r>
            <w:r>
              <w:t>（</w:t>
            </w:r>
            <w:r>
              <w:rPr>
                <w:rFonts w:hint="eastAsia"/>
              </w:rPr>
              <w:t>2014年7月1日至今，以授权时间为准）</w:t>
            </w:r>
            <w:r>
              <w:t>每</w:t>
            </w:r>
            <w:r>
              <w:rPr>
                <w:rFonts w:hint="eastAsia"/>
              </w:rPr>
              <w:t>有</w:t>
            </w:r>
            <w:r>
              <w:t>一个授权</w:t>
            </w:r>
            <w:r>
              <w:rPr>
                <w:rFonts w:hint="eastAsia"/>
              </w:rPr>
              <w:t>的发明</w:t>
            </w:r>
            <w:r>
              <w:t>专利得</w:t>
            </w:r>
            <w:r>
              <w:rPr>
                <w:rFonts w:hint="eastAsia"/>
              </w:rPr>
              <w:t>1</w:t>
            </w:r>
            <w:r>
              <w:t>分</w:t>
            </w:r>
            <w:r>
              <w:rPr>
                <w:rFonts w:hint="eastAsia"/>
              </w:rPr>
              <w:t>，其他专利得0.5分；</w:t>
            </w:r>
          </w:p>
          <w:p>
            <w:pPr>
              <w:autoSpaceDE w:val="0"/>
              <w:autoSpaceDN w:val="0"/>
              <w:adjustRightInd w:val="0"/>
              <w:snapToGrid w:val="0"/>
              <w:spacing w:line="320" w:lineRule="exact"/>
            </w:pPr>
            <w:r>
              <w:rPr>
                <w:rFonts w:hint="eastAsia"/>
              </w:rPr>
              <w:t>投标人近8年</w:t>
            </w:r>
            <w:r>
              <w:t>（</w:t>
            </w:r>
            <w:r>
              <w:rPr>
                <w:rFonts w:hint="eastAsia"/>
              </w:rPr>
              <w:t>2014年7月1日至今，以发表时间为准）</w:t>
            </w:r>
            <w:r>
              <w:t>每</w:t>
            </w:r>
            <w:r>
              <w:rPr>
                <w:rFonts w:hint="eastAsia"/>
              </w:rPr>
              <w:t>有</w:t>
            </w:r>
            <w:r>
              <w:t>一篇</w:t>
            </w:r>
            <w:r>
              <w:rPr>
                <w:rFonts w:hint="eastAsia"/>
              </w:rPr>
              <w:t>以第一单位发表的E</w:t>
            </w:r>
            <w:r>
              <w:t>I</w:t>
            </w:r>
            <w:r>
              <w:rPr>
                <w:rFonts w:hint="eastAsia"/>
              </w:rPr>
              <w:t>或S</w:t>
            </w:r>
            <w:r>
              <w:t>CI论文得</w:t>
            </w:r>
            <w:r>
              <w:rPr>
                <w:rFonts w:hint="eastAsia"/>
              </w:rPr>
              <w:t>0.5</w:t>
            </w:r>
            <w:r>
              <w:t>分</w:t>
            </w:r>
            <w:r>
              <w:rPr>
                <w:rFonts w:hint="eastAsia"/>
              </w:rPr>
              <w:t>，其他论文得0.2分；</w:t>
            </w:r>
          </w:p>
          <w:p>
            <w:pPr>
              <w:autoSpaceDE w:val="0"/>
              <w:autoSpaceDN w:val="0"/>
              <w:adjustRightInd w:val="0"/>
              <w:snapToGrid w:val="0"/>
              <w:spacing w:line="320" w:lineRule="exact"/>
            </w:pPr>
            <w:r>
              <w:rPr>
                <w:rFonts w:hint="eastAsia"/>
              </w:rPr>
              <w:t>本项</w:t>
            </w:r>
            <w:r>
              <w:t>最多得</w:t>
            </w:r>
            <w:r>
              <w:rPr>
                <w:rFonts w:hint="eastAsia"/>
              </w:rPr>
              <w:t>2</w:t>
            </w:r>
            <w: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4"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投标人荣誉</w:t>
            </w:r>
          </w:p>
        </w:tc>
        <w:tc>
          <w:tcPr>
            <w:tcW w:w="567" w:type="dxa"/>
            <w:tcBorders>
              <w:top w:val="single" w:color="auto" w:sz="4" w:space="0"/>
              <w:left w:val="single" w:color="auto" w:sz="4" w:space="0"/>
            </w:tcBorders>
            <w:vAlign w:val="center"/>
          </w:tcPr>
          <w:p>
            <w:pPr>
              <w:autoSpaceDE w:val="0"/>
              <w:autoSpaceDN w:val="0"/>
              <w:snapToGrid w:val="0"/>
              <w:spacing w:line="320" w:lineRule="exact"/>
              <w:ind w:firstLine="105" w:firstLineChars="50"/>
              <w:rPr>
                <w:rFonts w:ascii="宋体" w:hAnsi="宋体" w:cs="宋体"/>
                <w:kern w:val="0"/>
                <w:szCs w:val="21"/>
              </w:rPr>
            </w:pPr>
            <w:r>
              <w:rPr>
                <w:rFonts w:hint="eastAsia" w:ascii="宋体" w:hAnsi="宋体" w:cs="宋体"/>
                <w:kern w:val="0"/>
                <w:szCs w:val="21"/>
              </w:rPr>
              <w:t>5分</w:t>
            </w:r>
          </w:p>
        </w:tc>
        <w:tc>
          <w:tcPr>
            <w:tcW w:w="1340"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投标人荣誉</w:t>
            </w:r>
          </w:p>
        </w:tc>
        <w:tc>
          <w:tcPr>
            <w:tcW w:w="928" w:type="dxa"/>
            <w:tcBorders>
              <w:top w:val="single" w:color="auto" w:sz="4" w:space="0"/>
              <w:left w:val="single" w:color="auto" w:sz="4" w:space="0"/>
              <w:right w:val="single" w:color="auto" w:sz="4" w:space="0"/>
            </w:tcBorders>
            <w:vAlign w:val="center"/>
          </w:tcPr>
          <w:p>
            <w:pPr>
              <w:pStyle w:val="14"/>
              <w:snapToGrid w:val="0"/>
              <w:spacing w:line="320" w:lineRule="exact"/>
              <w:jc w:val="center"/>
              <w:rPr>
                <w:rFonts w:hAnsi="宋体"/>
              </w:rPr>
            </w:pPr>
            <w:r>
              <w:rPr>
                <w:rFonts w:hint="eastAsia" w:hAnsi="宋体"/>
              </w:rPr>
              <w:t>5分</w:t>
            </w:r>
          </w:p>
        </w:tc>
        <w:tc>
          <w:tcPr>
            <w:tcW w:w="5507" w:type="dxa"/>
            <w:tcBorders>
              <w:top w:val="single" w:color="auto" w:sz="4" w:space="0"/>
              <w:left w:val="single" w:color="auto" w:sz="4" w:space="0"/>
            </w:tcBorders>
            <w:vAlign w:val="center"/>
          </w:tcPr>
          <w:p>
            <w:pPr>
              <w:spacing w:line="380" w:lineRule="atLeast"/>
              <w:rPr>
                <w:rFonts w:ascii="宋体" w:hAnsi="宋体"/>
                <w:szCs w:val="21"/>
              </w:rPr>
            </w:pPr>
            <w:r>
              <w:rPr>
                <w:rFonts w:hint="eastAsia"/>
                <w:szCs w:val="21"/>
              </w:rPr>
              <w:t>主持</w:t>
            </w:r>
            <w:r>
              <w:rPr>
                <w:szCs w:val="21"/>
              </w:rPr>
              <w:t>省部级</w:t>
            </w:r>
            <w:r>
              <w:rPr>
                <w:rFonts w:hint="eastAsia"/>
                <w:szCs w:val="21"/>
              </w:rPr>
              <w:t>创新项目一等奖</w:t>
            </w:r>
            <w:r>
              <w:rPr>
                <w:szCs w:val="21"/>
              </w:rPr>
              <w:t>每提供一份得</w:t>
            </w:r>
            <w:r>
              <w:rPr>
                <w:rFonts w:hint="eastAsia"/>
                <w:szCs w:val="21"/>
              </w:rPr>
              <w:t>5</w:t>
            </w:r>
            <w:r>
              <w:rPr>
                <w:szCs w:val="21"/>
              </w:rPr>
              <w:t>分，</w:t>
            </w:r>
            <w:r>
              <w:rPr>
                <w:rFonts w:hint="eastAsia"/>
                <w:szCs w:val="21"/>
              </w:rPr>
              <w:t>主持</w:t>
            </w:r>
            <w:r>
              <w:rPr>
                <w:szCs w:val="21"/>
              </w:rPr>
              <w:t>省部级</w:t>
            </w:r>
            <w:r>
              <w:rPr>
                <w:rFonts w:hint="eastAsia"/>
                <w:szCs w:val="21"/>
              </w:rPr>
              <w:t>二等奖</w:t>
            </w:r>
            <w:r>
              <w:rPr>
                <w:szCs w:val="21"/>
              </w:rPr>
              <w:t>每提供一份得</w:t>
            </w:r>
            <w:r>
              <w:rPr>
                <w:rFonts w:hint="eastAsia"/>
                <w:szCs w:val="21"/>
              </w:rPr>
              <w:t>3</w:t>
            </w:r>
            <w:r>
              <w:rPr>
                <w:szCs w:val="21"/>
              </w:rPr>
              <w:t>分</w:t>
            </w:r>
            <w:r>
              <w:rPr>
                <w:rFonts w:hint="eastAsia"/>
                <w:szCs w:val="21"/>
              </w:rPr>
              <w:t>，主持</w:t>
            </w:r>
            <w:r>
              <w:rPr>
                <w:szCs w:val="21"/>
              </w:rPr>
              <w:t>省部级</w:t>
            </w:r>
            <w:r>
              <w:rPr>
                <w:rFonts w:hint="eastAsia"/>
                <w:szCs w:val="21"/>
              </w:rPr>
              <w:t>三等奖</w:t>
            </w:r>
            <w:r>
              <w:rPr>
                <w:szCs w:val="21"/>
              </w:rPr>
              <w:t>每提供一份得</w:t>
            </w:r>
            <w:r>
              <w:rPr>
                <w:rFonts w:hint="eastAsia"/>
                <w:szCs w:val="21"/>
              </w:rPr>
              <w:t>2</w:t>
            </w:r>
            <w:r>
              <w:rPr>
                <w:szCs w:val="21"/>
              </w:rPr>
              <w:t>分</w:t>
            </w:r>
            <w:r>
              <w:rPr>
                <w:rFonts w:hint="eastAsia"/>
                <w:szCs w:val="21"/>
              </w:rPr>
              <w:t>，</w:t>
            </w:r>
            <w:r>
              <w:rPr>
                <w:szCs w:val="21"/>
              </w:rPr>
              <w:t>最</w:t>
            </w:r>
            <w:r>
              <w:rPr>
                <w:rFonts w:hint="eastAsia"/>
                <w:szCs w:val="21"/>
              </w:rPr>
              <w:t>高</w:t>
            </w:r>
            <w:r>
              <w:rPr>
                <w:szCs w:val="21"/>
              </w:rPr>
              <w:t>得</w:t>
            </w:r>
            <w:r>
              <w:rPr>
                <w:rFonts w:hint="eastAsia"/>
                <w:szCs w:val="21"/>
              </w:rPr>
              <w:t>5</w:t>
            </w:r>
            <w:r>
              <w:rPr>
                <w:szCs w:val="21"/>
              </w:rPr>
              <w:t>分。</w:t>
            </w:r>
          </w:p>
        </w:tc>
      </w:tr>
    </w:tbl>
    <w:p>
      <w:pPr>
        <w:widowControl/>
        <w:spacing w:line="360" w:lineRule="auto"/>
        <w:jc w:val="left"/>
      </w:pPr>
      <w:r>
        <w:rPr>
          <w:rFonts w:hint="eastAsia" w:ascii="宋体" w:hAnsi="宋体" w:cs="宋体"/>
          <w:color w:val="000000"/>
          <w:kern w:val="0"/>
          <w:szCs w:val="21"/>
          <w:lang w:bidi="ar"/>
        </w:rPr>
        <w:t>注：1、各评分因素得分应以评标委员会各成员的打分平均值确定，</w:t>
      </w:r>
    </w:p>
    <w:p>
      <w:r>
        <w:rPr>
          <w:rFonts w:hint="eastAsia" w:ascii="宋体" w:hAnsi="宋体" w:cs="宋体"/>
          <w:color w:val="000000"/>
          <w:kern w:val="0"/>
          <w:szCs w:val="21"/>
          <w:lang w:bidi="ar"/>
        </w:rPr>
        <w:t>2、评分因素所列项目存在缺项的，则该项计 0 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117A5"/>
    <w:rsid w:val="000117A5"/>
    <w:rsid w:val="00C72E28"/>
    <w:rsid w:val="17AC3E8B"/>
    <w:rsid w:val="17E94F13"/>
    <w:rsid w:val="2D4649FD"/>
    <w:rsid w:val="427A3514"/>
    <w:rsid w:val="42D10325"/>
    <w:rsid w:val="439801FB"/>
    <w:rsid w:val="7364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rPr>
      <w:rFonts w:ascii="宋体" w:hAnsi="宋体"/>
      <w:sz w:val="24"/>
    </w:rPr>
  </w:style>
  <w:style w:type="paragraph" w:customStyle="1" w:styleId="3">
    <w:name w:val="正文部分 Char Char Char"/>
    <w:basedOn w:val="2"/>
    <w:next w:val="4"/>
    <w:qFormat/>
    <w:uiPriority w:val="99"/>
    <w:pPr>
      <w:spacing w:line="460" w:lineRule="exact"/>
      <w:textAlignment w:val="baseline"/>
    </w:pPr>
  </w:style>
  <w:style w:type="paragraph" w:customStyle="1" w:styleId="4">
    <w:name w:val="章标题"/>
    <w:basedOn w:val="5"/>
    <w:qFormat/>
    <w:uiPriority w:val="99"/>
    <w:pPr>
      <w:spacing w:line="360" w:lineRule="auto"/>
    </w:pPr>
  </w:style>
  <w:style w:type="paragraph" w:styleId="5">
    <w:name w:val="Title"/>
    <w:basedOn w:val="1"/>
    <w:next w:val="1"/>
    <w:qFormat/>
    <w:uiPriority w:val="0"/>
    <w:pPr>
      <w:spacing w:before="240" w:after="60"/>
      <w:jc w:val="center"/>
      <w:outlineLvl w:val="0"/>
    </w:pPr>
    <w:rPr>
      <w:sz w:val="18"/>
      <w:szCs w:val="18"/>
    </w:rPr>
  </w:style>
  <w:style w:type="paragraph" w:styleId="7">
    <w:name w:val="Body Text 3"/>
    <w:basedOn w:val="1"/>
    <w:next w:val="8"/>
    <w:qFormat/>
    <w:uiPriority w:val="0"/>
    <w:pPr>
      <w:spacing w:line="400" w:lineRule="exact"/>
    </w:pPr>
    <w:rPr>
      <w:bCs/>
      <w:sz w:val="24"/>
      <w:szCs w:val="20"/>
    </w:rPr>
  </w:style>
  <w:style w:type="paragraph" w:styleId="8">
    <w:name w:val="List 2"/>
    <w:basedOn w:val="1"/>
    <w:next w:val="9"/>
    <w:qFormat/>
    <w:uiPriority w:val="0"/>
    <w:pPr>
      <w:ind w:left="100" w:firstLine="3640"/>
    </w:pPr>
  </w:style>
  <w:style w:type="paragraph" w:styleId="9">
    <w:name w:val="Date"/>
    <w:basedOn w:val="1"/>
    <w:next w:val="1"/>
    <w:qFormat/>
    <w:uiPriority w:val="0"/>
    <w:pPr>
      <w:ind w:left="100" w:leftChars="2500"/>
    </w:pPr>
  </w:style>
  <w:style w:type="paragraph" w:styleId="10">
    <w:name w:val="Body Text Indent"/>
    <w:basedOn w:val="1"/>
    <w:next w:val="11"/>
    <w:qFormat/>
    <w:uiPriority w:val="0"/>
    <w:pPr>
      <w:spacing w:line="360" w:lineRule="auto"/>
      <w:ind w:firstLine="480" w:firstLineChars="200"/>
    </w:pPr>
    <w:rPr>
      <w:rFonts w:ascii="宋体" w:hAnsi="宋体"/>
      <w:sz w:val="24"/>
    </w:rPr>
  </w:style>
  <w:style w:type="paragraph" w:styleId="11">
    <w:name w:val="Body Text Indent 2"/>
    <w:basedOn w:val="1"/>
    <w:qFormat/>
    <w:uiPriority w:val="0"/>
    <w:pPr>
      <w:spacing w:line="520" w:lineRule="exact"/>
      <w:ind w:firstLine="480" w:firstLineChars="200"/>
    </w:pPr>
    <w:rPr>
      <w:rFonts w:ascii="宋体" w:hAnsi="宋体"/>
      <w:color w:val="000000"/>
      <w:sz w:val="24"/>
    </w:rPr>
  </w:style>
  <w:style w:type="paragraph" w:styleId="12">
    <w:name w:val="List Continue"/>
    <w:basedOn w:val="1"/>
    <w:next w:val="13"/>
    <w:qFormat/>
    <w:uiPriority w:val="0"/>
    <w:pPr>
      <w:spacing w:after="120"/>
      <w:ind w:left="420" w:firstLine="3584"/>
    </w:pPr>
  </w:style>
  <w:style w:type="paragraph" w:styleId="13">
    <w:name w:val="Body Text First Indent"/>
    <w:basedOn w:val="2"/>
    <w:next w:val="7"/>
    <w:qFormat/>
    <w:uiPriority w:val="0"/>
    <w:pPr>
      <w:autoSpaceDE w:val="0"/>
      <w:autoSpaceDN w:val="0"/>
      <w:adjustRightInd w:val="0"/>
      <w:spacing w:after="120"/>
      <w:ind w:firstLine="420"/>
      <w:jc w:val="left"/>
      <w:textAlignment w:val="baseline"/>
    </w:pPr>
  </w:style>
  <w:style w:type="paragraph" w:styleId="14">
    <w:name w:val="Plain Text"/>
    <w:basedOn w:val="1"/>
    <w:qFormat/>
    <w:uiPriority w:val="0"/>
    <w:rPr>
      <w:rFonts w:ascii="宋体" w:hAnsi="Courier New" w:cs="Courier New"/>
      <w:szCs w:val="21"/>
    </w:rPr>
  </w:style>
  <w:style w:type="paragraph" w:styleId="15">
    <w:name w:val="toc 2"/>
    <w:basedOn w:val="1"/>
    <w:next w:val="1"/>
    <w:qFormat/>
    <w:uiPriority w:val="39"/>
    <w:pPr>
      <w:tabs>
        <w:tab w:val="right" w:leader="middleDot" w:pos="8296"/>
      </w:tabs>
      <w:ind w:left="420" w:leftChars="200"/>
    </w:pPr>
    <w:rPr>
      <w:rFonts w:ascii="宋体" w:hAnsi="宋体"/>
      <w:sz w:val="24"/>
    </w:rPr>
  </w:style>
  <w:style w:type="paragraph" w:styleId="16">
    <w:name w:val="Body Text First Indent 2"/>
    <w:basedOn w:val="10"/>
    <w:next w:val="12"/>
    <w:qFormat/>
    <w:uiPriority w:val="0"/>
    <w:pPr>
      <w:ind w:firstLine="420"/>
    </w:pPr>
  </w:style>
  <w:style w:type="paragraph" w:customStyle="1" w:styleId="19">
    <w:name w:val="目录3"/>
    <w:basedOn w:val="1"/>
    <w:qFormat/>
    <w:uiPriority w:val="0"/>
    <w:pPr>
      <w:spacing w:before="156" w:beforeLines="50" w:after="156" w:afterLines="50" w:line="400" w:lineRule="exact"/>
    </w:pPr>
    <w:rPr>
      <w:rFonts w:ascii="黑体" w:eastAsia="黑体"/>
      <w:sz w:val="24"/>
    </w:rPr>
  </w:style>
  <w:style w:type="character" w:customStyle="1" w:styleId="20">
    <w:name w:val="目录4 Char"/>
    <w:qFormat/>
    <w:uiPriority w:val="0"/>
    <w:rPr>
      <w:rFonts w:ascii="黑体" w:eastAsia="黑体"/>
      <w:kern w:val="2"/>
      <w:sz w:val="24"/>
      <w:szCs w:val="24"/>
      <w:lang w:val="en-US" w:eastAsia="zh-CN" w:bidi="ar-SA"/>
    </w:rPr>
  </w:style>
  <w:style w:type="character" w:customStyle="1" w:styleId="21">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4958</Words>
  <Characters>5353</Characters>
  <Lines>41</Lines>
  <Paragraphs>11</Paragraphs>
  <TotalTime>0</TotalTime>
  <ScaleCrop>false</ScaleCrop>
  <LinksUpToDate>false</LinksUpToDate>
  <CharactersWithSpaces>5418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2022-07-20T02:30:00Z</dcterms:created>
  <dc:creator>Administrator</dc:creator>
  <cp:lastModifiedBy>韩子程</cp:lastModifiedBy>
  <dcterms:modified xsi:type="dcterms:W3CDTF">2022-07-21T03:54:47Z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DDE6AA1BFFB6491EB1026C93EAA584F2</vt:lpwstr>
  </property>
</Properties>
</file>